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213BB9B2" w14:textId="77777777" w:rsidR="006672C4" w:rsidRPr="00F51386" w:rsidRDefault="006672C4" w:rsidP="006672C4">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0B4FB6DC" w14:textId="77777777" w:rsidR="006672C4" w:rsidRPr="00F51386" w:rsidRDefault="006672C4" w:rsidP="006672C4">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0C26DD8F" w14:textId="223FE896" w:rsidR="006672C4" w:rsidRPr="00F51386" w:rsidRDefault="006672C4" w:rsidP="006672C4">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prof. PhDr. Ing. Jan Royt, Ph.D., Mgr. Blanka Skučková, Mgr. Silvie Stanická, Ph.D., prof. Ing. Pavel Šimek, Ph.D., prof. Ing. arch. Petr Urlich, CSc., doc. PhDr. Pavel Vařeka, Ph.D., Ing. Martina Dvořáková (tajemnice)</w:t>
      </w:r>
    </w:p>
    <w:p w14:paraId="4A0E5CF0" w14:textId="7819A9CC" w:rsidR="006672C4" w:rsidRPr="00AD5F18" w:rsidRDefault="006672C4" w:rsidP="006672C4">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sidRPr="0030355D">
        <w:rPr>
          <w:sz w:val="24"/>
          <w:szCs w:val="24"/>
        </w:rPr>
        <w:t>doc. MgA. Blanka Chládková,</w:t>
      </w:r>
      <w:r>
        <w:rPr>
          <w:sz w:val="24"/>
          <w:szCs w:val="24"/>
        </w:rPr>
        <w:t xml:space="preserve"> doc. MgA. Adam Pokorný, Ph.D.</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5A13DB">
        <w:rPr>
          <w:b/>
        </w:rPr>
        <w:t xml:space="preserve">Název </w:t>
      </w:r>
      <w:r w:rsidR="00751ECE" w:rsidRPr="005A13DB">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099C4212" w:rsidR="00574211" w:rsidRPr="00533BBD" w:rsidRDefault="00154AFF" w:rsidP="00B83E21">
            <w:pPr>
              <w:pStyle w:val="Zkladntext"/>
              <w:spacing w:before="60" w:line="276" w:lineRule="auto"/>
              <w:jc w:val="both"/>
              <w:rPr>
                <w:b/>
              </w:rPr>
            </w:pPr>
            <w:r>
              <w:rPr>
                <w:b/>
              </w:rPr>
              <w:t>Národní galerie v Praze</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0AC46388" w14:textId="0C09C137" w:rsidR="006A2D0A" w:rsidRDefault="006A2D0A" w:rsidP="006A2D0A">
            <w:pPr>
              <w:pStyle w:val="Zkladntext"/>
              <w:spacing w:before="60" w:line="276" w:lineRule="auto"/>
              <w:jc w:val="both"/>
            </w:pPr>
            <w:r>
              <w:t>Výzkumná organizace se v roce 2023 neodchýlila od zásadních záměrů a struktury Koncepce.</w:t>
            </w:r>
          </w:p>
          <w:p w14:paraId="621217CF" w14:textId="3A989622" w:rsidR="006A2D0A" w:rsidRDefault="006A2D0A" w:rsidP="006A2D0A">
            <w:pPr>
              <w:pStyle w:val="Zkladntext"/>
              <w:spacing w:before="60" w:line="276" w:lineRule="auto"/>
              <w:jc w:val="both"/>
            </w:pPr>
            <w:r>
              <w:t>Změny vůči Koncepci jsou v části plnění kontrolovatelných cílů (část III.1 Koncepce) ve smyslu změn názvů výsledků:</w:t>
            </w:r>
          </w:p>
          <w:p w14:paraId="77548580" w14:textId="3105EC91" w:rsidR="006A2D0A" w:rsidRDefault="006A2D0A" w:rsidP="006A2D0A">
            <w:pPr>
              <w:pStyle w:val="Zkladntext"/>
              <w:spacing w:before="60" w:line="276" w:lineRule="auto"/>
              <w:jc w:val="both"/>
            </w:pPr>
            <w:r w:rsidRPr="007E286F">
              <w:rPr>
                <w:b/>
              </w:rPr>
              <w:t>V</w:t>
            </w:r>
            <w:r w:rsidR="007E286F">
              <w:rPr>
                <w:b/>
              </w:rPr>
              <w:t> </w:t>
            </w:r>
            <w:r w:rsidR="007E286F" w:rsidRPr="007E286F">
              <w:rPr>
                <w:b/>
              </w:rPr>
              <w:t>oblasti</w:t>
            </w:r>
            <w:r w:rsidR="007E286F">
              <w:rPr>
                <w:b/>
              </w:rPr>
              <w:t xml:space="preserve"> č</w:t>
            </w:r>
            <w:r w:rsidRPr="007E286F">
              <w:rPr>
                <w:b/>
              </w:rPr>
              <w:t>. 1</w:t>
            </w:r>
            <w:r w:rsidR="007E286F">
              <w:t xml:space="preserve">: </w:t>
            </w:r>
            <w:r>
              <w:t>Plánovaný výsledek S – Databáze deskové malby bohemikálního původu nahrazena titulem s názvem Databáze německé a rakouské malířství 14. až 16. století.</w:t>
            </w:r>
          </w:p>
          <w:p w14:paraId="0C9E2F1C" w14:textId="10A35105" w:rsidR="006A2D0A" w:rsidRDefault="006A2D0A" w:rsidP="006A2D0A">
            <w:pPr>
              <w:pStyle w:val="Zkladntext"/>
              <w:spacing w:before="60" w:line="276" w:lineRule="auto"/>
              <w:jc w:val="both"/>
            </w:pPr>
            <w:r w:rsidRPr="007E286F">
              <w:rPr>
                <w:b/>
              </w:rPr>
              <w:t>V</w:t>
            </w:r>
            <w:r w:rsidR="007E286F">
              <w:rPr>
                <w:b/>
              </w:rPr>
              <w:t> </w:t>
            </w:r>
            <w:r w:rsidR="007E286F" w:rsidRPr="007E286F">
              <w:rPr>
                <w:b/>
              </w:rPr>
              <w:t>oblasti</w:t>
            </w:r>
            <w:r w:rsidR="007E286F">
              <w:rPr>
                <w:b/>
              </w:rPr>
              <w:t xml:space="preserve"> č</w:t>
            </w:r>
            <w:r w:rsidRPr="007E286F">
              <w:rPr>
                <w:b/>
              </w:rPr>
              <w:t>. 4</w:t>
            </w:r>
            <w:r w:rsidR="007E286F">
              <w:t xml:space="preserve">: </w:t>
            </w:r>
            <w:r>
              <w:t>Plánovaný výsledek B – Soupisový katalog tzv. francouzské sbírky nahrazen titulem s názvem Italian Drawing.</w:t>
            </w:r>
          </w:p>
          <w:p w14:paraId="1B6C2BDE" w14:textId="204FF929" w:rsidR="006A2D0A" w:rsidRDefault="006A2D0A" w:rsidP="006A2D0A">
            <w:pPr>
              <w:pStyle w:val="Zkladntext"/>
              <w:spacing w:before="60" w:line="276" w:lineRule="auto"/>
              <w:jc w:val="both"/>
            </w:pPr>
            <w:r w:rsidRPr="007E286F">
              <w:rPr>
                <w:b/>
              </w:rPr>
              <w:t>V</w:t>
            </w:r>
            <w:r w:rsidR="007E286F">
              <w:rPr>
                <w:b/>
              </w:rPr>
              <w:t> </w:t>
            </w:r>
            <w:r w:rsidR="007E286F" w:rsidRPr="007E286F">
              <w:rPr>
                <w:b/>
              </w:rPr>
              <w:t>oblasti</w:t>
            </w:r>
            <w:r w:rsidR="007E286F">
              <w:rPr>
                <w:b/>
              </w:rPr>
              <w:t xml:space="preserve"> č</w:t>
            </w:r>
            <w:r w:rsidRPr="007E286F">
              <w:rPr>
                <w:b/>
              </w:rPr>
              <w:t>. 5</w:t>
            </w:r>
            <w:r w:rsidR="007E286F">
              <w:t xml:space="preserve">: </w:t>
            </w:r>
            <w:r>
              <w:t>Plánovaný výsledek B – Soupisový katalog buddhistického umění ze sbírek NGP nahrazen titulem s názvem Indické ragamálové malířství.</w:t>
            </w:r>
          </w:p>
          <w:p w14:paraId="1FDB9D32" w14:textId="37166F9D" w:rsidR="006A2D0A" w:rsidRDefault="006A2D0A" w:rsidP="006A2D0A">
            <w:pPr>
              <w:pStyle w:val="Zkladntext"/>
              <w:spacing w:before="60" w:line="276" w:lineRule="auto"/>
              <w:jc w:val="both"/>
            </w:pPr>
            <w:r>
              <w:t xml:space="preserve">Změny vůči Koncepci jsou </w:t>
            </w:r>
            <w:r w:rsidR="007E286F">
              <w:t xml:space="preserve">dále </w:t>
            </w:r>
            <w:r>
              <w:t>v části ve složení řešitelských týmů za rok 2023 (část III.1 Koncepce):</w:t>
            </w:r>
          </w:p>
          <w:p w14:paraId="1E0D8FA7" w14:textId="72C4AC14" w:rsidR="006A2D0A" w:rsidRDefault="006A2D0A" w:rsidP="006A2D0A">
            <w:pPr>
              <w:pStyle w:val="Zkladntext"/>
              <w:spacing w:before="60" w:line="276" w:lineRule="auto"/>
              <w:jc w:val="both"/>
            </w:pPr>
            <w:r w:rsidRPr="007E286F">
              <w:rPr>
                <w:b/>
              </w:rPr>
              <w:t>V</w:t>
            </w:r>
            <w:r w:rsidR="007E286F" w:rsidRPr="007E286F">
              <w:rPr>
                <w:b/>
              </w:rPr>
              <w:t xml:space="preserve"> oblasti</w:t>
            </w:r>
            <w:r w:rsidRPr="007E286F">
              <w:rPr>
                <w:b/>
              </w:rPr>
              <w:t xml:space="preserve"> </w:t>
            </w:r>
            <w:r w:rsidR="007E286F" w:rsidRPr="007E286F">
              <w:rPr>
                <w:b/>
              </w:rPr>
              <w:t xml:space="preserve">č. </w:t>
            </w:r>
            <w:r w:rsidRPr="007E286F">
              <w:rPr>
                <w:b/>
              </w:rPr>
              <w:t>3</w:t>
            </w:r>
            <w:r w:rsidR="007E286F">
              <w:t xml:space="preserve">: </w:t>
            </w:r>
            <w:r>
              <w:t>Původní pozici dokumentátorky/asistentky Ester Klingerové a následně Terezy Häckelová nově převzala Miriam Kulmová.</w:t>
            </w:r>
          </w:p>
          <w:p w14:paraId="283F96E2" w14:textId="7E0A777E" w:rsidR="006A2D0A" w:rsidRDefault="006A2D0A" w:rsidP="006A2D0A">
            <w:pPr>
              <w:pStyle w:val="Zkladntext"/>
              <w:spacing w:before="60" w:line="276" w:lineRule="auto"/>
              <w:jc w:val="both"/>
            </w:pPr>
            <w:r w:rsidRPr="007E286F">
              <w:rPr>
                <w:b/>
              </w:rPr>
              <w:lastRenderedPageBreak/>
              <w:t>V</w:t>
            </w:r>
            <w:r w:rsidR="007E286F" w:rsidRPr="007E286F">
              <w:rPr>
                <w:b/>
              </w:rPr>
              <w:t xml:space="preserve"> oblasti</w:t>
            </w:r>
            <w:r w:rsidRPr="007E286F">
              <w:rPr>
                <w:b/>
              </w:rPr>
              <w:t xml:space="preserve"> </w:t>
            </w:r>
            <w:r w:rsidR="007E286F" w:rsidRPr="007E286F">
              <w:rPr>
                <w:b/>
              </w:rPr>
              <w:t xml:space="preserve">č. </w:t>
            </w:r>
            <w:r w:rsidRPr="007E286F">
              <w:rPr>
                <w:b/>
              </w:rPr>
              <w:t>4</w:t>
            </w:r>
            <w:r w:rsidR="007E286F">
              <w:t xml:space="preserve">: </w:t>
            </w:r>
            <w:r>
              <w:t>Na pozici kurátora zpracování tzv. francouzské sbírky</w:t>
            </w:r>
            <w:r w:rsidR="007E286F">
              <w:t xml:space="preserve"> se vrátila po působení v týmu v oblasti</w:t>
            </w:r>
            <w:r>
              <w:t>. 2 Petra Kolářová.</w:t>
            </w:r>
          </w:p>
          <w:p w14:paraId="6CFDD1CE" w14:textId="4DE67484" w:rsidR="006A2D0A" w:rsidRDefault="007E286F" w:rsidP="006A2D0A">
            <w:pPr>
              <w:pStyle w:val="Zkladntext"/>
              <w:spacing w:before="60" w:line="276" w:lineRule="auto"/>
              <w:jc w:val="both"/>
            </w:pPr>
            <w:r w:rsidRPr="007E286F">
              <w:rPr>
                <w:b/>
              </w:rPr>
              <w:t xml:space="preserve">V oblasti </w:t>
            </w:r>
            <w:r>
              <w:rPr>
                <w:b/>
              </w:rPr>
              <w:t>č</w:t>
            </w:r>
            <w:r w:rsidR="006A2D0A" w:rsidRPr="007E286F">
              <w:rPr>
                <w:b/>
              </w:rPr>
              <w:t>. 8</w:t>
            </w:r>
            <w:r w:rsidRPr="007E286F">
              <w:rPr>
                <w:b/>
              </w:rPr>
              <w:t xml:space="preserve">: </w:t>
            </w:r>
            <w:r w:rsidR="006A2D0A">
              <w:t>Na pozici podpůrných vědeckých činností došlo ke změně příjmení u Petry Hornochové na Čápovou.</w:t>
            </w:r>
          </w:p>
          <w:p w14:paraId="6EBD98A8" w14:textId="43AA24A0" w:rsidR="00903414" w:rsidRPr="00571C58" w:rsidRDefault="006A2D0A" w:rsidP="006A2D0A">
            <w:pPr>
              <w:pStyle w:val="Zkladntext"/>
              <w:spacing w:before="60" w:line="276" w:lineRule="auto"/>
              <w:jc w:val="both"/>
            </w:pPr>
            <w:r>
              <w:t>V roce 2023 došlo v rámci struktury NGP k přejmenování Sbírky umění 19. století a klasické moderny na Sbírku moderního umění (V</w:t>
            </w:r>
            <w:r w:rsidR="007E286F">
              <w:t xml:space="preserve"> oblasti</w:t>
            </w:r>
            <w:r>
              <w:t xml:space="preserve"> 2) a k přejmenování Sbírky moderního a současného umění na Sbírku umění po roce 1945 (V</w:t>
            </w:r>
            <w:r w:rsidR="007E286F">
              <w:t xml:space="preserve"> oblasti</w:t>
            </w:r>
            <w:r>
              <w:t xml:space="preserve"> 3). </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278267B4" w14:textId="58EC1799" w:rsidR="00F87DE8" w:rsidRPr="00F87DE8" w:rsidRDefault="00F87DE8" w:rsidP="007E286F">
            <w:pPr>
              <w:autoSpaceDE w:val="0"/>
              <w:autoSpaceDN w:val="0"/>
              <w:adjustRightInd w:val="0"/>
              <w:spacing w:before="60" w:line="276" w:lineRule="auto"/>
              <w:jc w:val="both"/>
              <w:rPr>
                <w:rFonts w:eastAsia="Calibri"/>
                <w:sz w:val="24"/>
                <w:szCs w:val="24"/>
              </w:rPr>
            </w:pPr>
            <w:r w:rsidRPr="00283B58">
              <w:rPr>
                <w:rFonts w:eastAsia="Calibri"/>
                <w:sz w:val="24"/>
                <w:szCs w:val="24"/>
              </w:rPr>
              <w:t xml:space="preserve">Národní galerie v Praze (dále jen „NGP“) realizovala v roce 2023 vědecké aktivity v souladu s aktualizovanou </w:t>
            </w:r>
            <w:r w:rsidRPr="00283B58">
              <w:rPr>
                <w:rFonts w:eastAsia="Calibri"/>
                <w:i/>
                <w:iCs/>
                <w:sz w:val="24"/>
                <w:szCs w:val="24"/>
              </w:rPr>
              <w:t xml:space="preserve">Dlouhodobou koncepcí rozvoje výzkumné organizace Národní galerie v Praze na léta 2019 až 2023 </w:t>
            </w:r>
            <w:r w:rsidRPr="00283B58">
              <w:rPr>
                <w:rFonts w:eastAsia="Calibri"/>
                <w:sz w:val="24"/>
                <w:szCs w:val="24"/>
              </w:rPr>
              <w:t>(dále jen „Koncepce“) jak po stránce finanční, tak i věcné. Vymezené dílčí cíle a počty aplikovaných i publikačních výsledků byly splněny. Došlo pouze k posunům či drobným změnám v názvech konkrétních výsledků oproti znění v původní Koncepci. Uplatnil se výsledek Ekrit z plánu roku 2022 z důvodu odložení realizace výstavy Mánes na rok 2023.</w:t>
            </w:r>
          </w:p>
          <w:p w14:paraId="5ABCFEE4" w14:textId="77777777" w:rsidR="00E71027" w:rsidRPr="00F87DE8" w:rsidRDefault="00E71027" w:rsidP="007E286F">
            <w:pPr>
              <w:autoSpaceDE w:val="0"/>
              <w:autoSpaceDN w:val="0"/>
              <w:adjustRightInd w:val="0"/>
              <w:spacing w:before="60" w:line="276" w:lineRule="auto"/>
              <w:rPr>
                <w:rFonts w:ascii="TimesNewRomanPSMT" w:eastAsia="Calibri" w:hAnsi="TimesNewRomanPSMT" w:cs="TimesNewRomanPSMT"/>
                <w:sz w:val="22"/>
                <w:szCs w:val="22"/>
              </w:rPr>
            </w:pPr>
          </w:p>
          <w:p w14:paraId="6FDE321E" w14:textId="77777777" w:rsidR="00E71027" w:rsidRDefault="00E71027" w:rsidP="007E286F">
            <w:pPr>
              <w:pStyle w:val="Zkladntext"/>
              <w:spacing w:before="60" w:line="276" w:lineRule="auto"/>
              <w:jc w:val="both"/>
            </w:pPr>
            <w:r>
              <w:t>Celkový cíl Koncepce při realizaci v roce 2023 byl zachován v následujících třech bodech:</w:t>
            </w:r>
          </w:p>
          <w:p w14:paraId="3A35947F" w14:textId="77777777" w:rsidR="00E71027" w:rsidRDefault="00E71027" w:rsidP="007E286F">
            <w:pPr>
              <w:pStyle w:val="Zkladntext"/>
              <w:spacing w:before="60" w:line="276" w:lineRule="auto"/>
              <w:jc w:val="both"/>
            </w:pPr>
            <w:r>
              <w:t>1. pokračující modernizace a revitalizace expozic (výstupem jsou realizované nebo revitalizované</w:t>
            </w:r>
          </w:p>
          <w:p w14:paraId="348E9FAF" w14:textId="77777777" w:rsidR="00E71027" w:rsidRDefault="00E71027" w:rsidP="007E286F">
            <w:pPr>
              <w:pStyle w:val="Zkladntext"/>
              <w:spacing w:before="60" w:line="276" w:lineRule="auto"/>
              <w:jc w:val="both"/>
            </w:pPr>
            <w:r>
              <w:t>projekty);</w:t>
            </w:r>
          </w:p>
          <w:p w14:paraId="5E90C45B" w14:textId="77777777" w:rsidR="00E71027" w:rsidRDefault="00E71027" w:rsidP="007E286F">
            <w:pPr>
              <w:pStyle w:val="Zkladntext"/>
              <w:spacing w:before="60" w:line="276" w:lineRule="auto"/>
              <w:jc w:val="both"/>
            </w:pPr>
            <w:r>
              <w:t>2. systematický průzkum spravovaných uměleckých předmětů a archivních fondů a materiálové</w:t>
            </w:r>
          </w:p>
          <w:p w14:paraId="72C9B158" w14:textId="77777777" w:rsidR="00E71027" w:rsidRDefault="00E71027" w:rsidP="007E286F">
            <w:pPr>
              <w:pStyle w:val="Zkladntext"/>
              <w:spacing w:before="60" w:line="276" w:lineRule="auto"/>
              <w:jc w:val="both"/>
            </w:pPr>
            <w:r>
              <w:t>průzkumy prováděné neinvazivními metodami (výstupem jsou online databáze, výstavní</w:t>
            </w:r>
          </w:p>
          <w:p w14:paraId="3EA57873" w14:textId="77777777" w:rsidR="00E71027" w:rsidRDefault="00E71027" w:rsidP="007E286F">
            <w:pPr>
              <w:pStyle w:val="Zkladntext"/>
              <w:spacing w:before="60" w:line="276" w:lineRule="auto"/>
              <w:jc w:val="both"/>
            </w:pPr>
            <w:r>
              <w:t>projekty);</w:t>
            </w:r>
          </w:p>
          <w:p w14:paraId="37726BAF" w14:textId="56C2A041" w:rsidR="00F87DE8" w:rsidRPr="00571C58" w:rsidRDefault="00E71027" w:rsidP="007E286F">
            <w:pPr>
              <w:pStyle w:val="Zkladntext"/>
              <w:spacing w:before="60" w:line="276" w:lineRule="auto"/>
              <w:jc w:val="both"/>
            </w:pPr>
            <w:r>
              <w:t>3. podpora publikační činnosti a dalších průřezových statutárních a vědecko-výzkumných činností VO – zajištění přístupu k odborným online zdrojům a odborné literatuře, restaurování archiválií a vzácných listin NGP, celkové zajištění a rozšiřování informační infrastruktury pro vědu a výzkum.</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3402CB93" w14:textId="6BC50325"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sidR="007E286F">
              <w:rPr>
                <w:rFonts w:eastAsia="Calibri"/>
                <w:b/>
                <w:bCs/>
                <w:sz w:val="24"/>
                <w:szCs w:val="24"/>
              </w:rPr>
              <w:t xml:space="preserve"> oblasti</w:t>
            </w:r>
            <w:r w:rsidRPr="007E286F">
              <w:rPr>
                <w:rFonts w:eastAsia="Calibri"/>
                <w:b/>
                <w:bCs/>
                <w:sz w:val="24"/>
                <w:szCs w:val="24"/>
              </w:rPr>
              <w:t xml:space="preserve"> č. 1 – Staré umění</w:t>
            </w:r>
          </w:p>
          <w:p w14:paraId="6A489706"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(D) Konvolut deskové malby bohemikálního původu ve sbírkách NGP (2021–2023)</w:t>
            </w:r>
          </w:p>
          <w:p w14:paraId="53D484B1" w14:textId="7CE67357" w:rsidR="00F01DBE" w:rsidRPr="007E286F" w:rsidRDefault="0003561D" w:rsidP="007E286F">
            <w:pPr>
              <w:autoSpaceDE w:val="0"/>
              <w:autoSpaceDN w:val="0"/>
              <w:adjustRightInd w:val="0"/>
              <w:spacing w:before="60" w:line="276" w:lineRule="auto"/>
              <w:jc w:val="both"/>
              <w:rPr>
                <w:rFonts w:eastAsia="Calibri"/>
                <w:sz w:val="24"/>
                <w:szCs w:val="24"/>
              </w:rPr>
            </w:pPr>
            <w:r>
              <w:rPr>
                <w:rFonts w:eastAsia="Calibri"/>
                <w:sz w:val="24"/>
                <w:szCs w:val="24"/>
              </w:rPr>
              <w:t xml:space="preserve">Dílčí cíl </w:t>
            </w:r>
            <w:r w:rsidR="007C4E0B">
              <w:rPr>
                <w:rFonts w:eastAsia="Calibri"/>
                <w:sz w:val="24"/>
                <w:szCs w:val="24"/>
              </w:rPr>
              <w:t>byl částečně splněn podle původního plánu</w:t>
            </w:r>
            <w:r w:rsidR="00696926">
              <w:rPr>
                <w:rFonts w:eastAsia="Calibri"/>
                <w:sz w:val="24"/>
                <w:szCs w:val="24"/>
              </w:rPr>
              <w:t xml:space="preserve">. </w:t>
            </w:r>
            <w:r w:rsidR="00F01DBE" w:rsidRPr="007E286F">
              <w:rPr>
                <w:rFonts w:eastAsia="Calibri"/>
                <w:sz w:val="24"/>
                <w:szCs w:val="24"/>
              </w:rPr>
              <w:t xml:space="preserve">Vzhledem k vážné dlouhodobé nemoci odpovědné kurátorky a celkově z kapacitních důvodů nebyl Konvolut ani databáze vydána podle původního záměru, ale i přes závažnost situace probíhaly práce na </w:t>
            </w:r>
            <w:r w:rsidR="00F01DBE" w:rsidRPr="007E286F">
              <w:rPr>
                <w:rFonts w:eastAsia="Calibri"/>
                <w:sz w:val="24"/>
                <w:szCs w:val="24"/>
              </w:rPr>
              <w:lastRenderedPageBreak/>
              <w:t>uměleckohistorickém zpracování, archivní rešerše, rešerše potřeb návazného restaurátorského a laboratorního průzkumu a fotodokumentace. Plánovaný výstup S na rok 2023 byl nahrazen jiným titulem.</w:t>
            </w:r>
          </w:p>
          <w:p w14:paraId="05120DB1"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2. (E) Konvolut francouzského umění 16. až 18. století ve sbírkách NGP (2021–2023)</w:t>
            </w:r>
          </w:p>
          <w:p w14:paraId="77D74F5C" w14:textId="44958371" w:rsidR="00F01DBE" w:rsidRPr="007E286F" w:rsidRDefault="00F01DBE" w:rsidP="007E286F">
            <w:pPr>
              <w:autoSpaceDE w:val="0"/>
              <w:autoSpaceDN w:val="0"/>
              <w:adjustRightInd w:val="0"/>
              <w:spacing w:before="60" w:line="276" w:lineRule="auto"/>
              <w:jc w:val="both"/>
              <w:rPr>
                <w:rFonts w:eastAsia="Calibri"/>
                <w:sz w:val="24"/>
                <w:szCs w:val="24"/>
              </w:rPr>
            </w:pPr>
            <w:r w:rsidRPr="007E286F">
              <w:rPr>
                <w:rFonts w:eastAsia="Calibri"/>
                <w:sz w:val="24"/>
                <w:szCs w:val="24"/>
              </w:rPr>
              <w:t>Dílčí cíl splněn. Byla dokončena finální část zpracování konvolutu dle harmonogramu. Editorka</w:t>
            </w:r>
            <w:r w:rsidR="007E286F">
              <w:rPr>
                <w:rFonts w:eastAsia="Calibri"/>
                <w:sz w:val="24"/>
                <w:szCs w:val="24"/>
              </w:rPr>
              <w:t xml:space="preserve"> </w:t>
            </w:r>
            <w:r w:rsidRPr="007E286F">
              <w:rPr>
                <w:rFonts w:eastAsia="Calibri"/>
                <w:sz w:val="24"/>
                <w:szCs w:val="24"/>
              </w:rPr>
              <w:t>zpracovávala realizované archivní, uměleckohistorické a restaurátorsko-chemické průzkumy děl.</w:t>
            </w:r>
            <w:r w:rsidR="007E286F">
              <w:rPr>
                <w:rFonts w:eastAsia="Calibri"/>
                <w:sz w:val="24"/>
                <w:szCs w:val="24"/>
              </w:rPr>
              <w:t xml:space="preserve"> </w:t>
            </w:r>
            <w:r w:rsidRPr="007E286F">
              <w:rPr>
                <w:rFonts w:eastAsia="Calibri"/>
                <w:sz w:val="24"/>
                <w:szCs w:val="24"/>
              </w:rPr>
              <w:t>Dále pokračovala fotodokumentace předmětných děl a řada odborných konzultací s</w:t>
            </w:r>
            <w:r w:rsidR="007E286F">
              <w:rPr>
                <w:rFonts w:eastAsia="Calibri"/>
                <w:sz w:val="24"/>
                <w:szCs w:val="24"/>
              </w:rPr>
              <w:t> </w:t>
            </w:r>
            <w:r w:rsidRPr="007E286F">
              <w:rPr>
                <w:rFonts w:eastAsia="Calibri"/>
                <w:sz w:val="24"/>
                <w:szCs w:val="24"/>
              </w:rPr>
              <w:t>francouzskými</w:t>
            </w:r>
            <w:r w:rsidR="007E286F">
              <w:rPr>
                <w:rFonts w:eastAsia="Calibri"/>
                <w:sz w:val="24"/>
                <w:szCs w:val="24"/>
              </w:rPr>
              <w:t xml:space="preserve"> </w:t>
            </w:r>
            <w:r w:rsidRPr="007E286F">
              <w:rPr>
                <w:rFonts w:eastAsia="Calibri"/>
                <w:sz w:val="24"/>
                <w:szCs w:val="24"/>
              </w:rPr>
              <w:t>historiky umění apod. Podle plánu byl publikován výsledek typu B a výsledek typu S (online databáze).</w:t>
            </w:r>
          </w:p>
          <w:p w14:paraId="1A0C6998" w14:textId="7AE3F9BA"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sidR="007E286F">
              <w:rPr>
                <w:rFonts w:eastAsia="Calibri"/>
                <w:b/>
                <w:bCs/>
                <w:sz w:val="24"/>
                <w:szCs w:val="24"/>
              </w:rPr>
              <w:t xml:space="preserve"> oblasti</w:t>
            </w:r>
            <w:r w:rsidRPr="007E286F">
              <w:rPr>
                <w:rFonts w:eastAsia="Calibri"/>
                <w:b/>
                <w:bCs/>
                <w:sz w:val="24"/>
                <w:szCs w:val="24"/>
              </w:rPr>
              <w:t xml:space="preserve"> č. 2 – Umění 19. století a klasické moderny</w:t>
            </w:r>
          </w:p>
          <w:p w14:paraId="693BB8B8"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Zpracování velkých osobností a témat českého umění od 19. do 21. století</w:t>
            </w:r>
          </w:p>
          <w:p w14:paraId="332A5624"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 mezinárodním kontextu (2019–2023)</w:t>
            </w:r>
          </w:p>
          <w:p w14:paraId="322871BB" w14:textId="585B648B" w:rsidR="00F01DBE" w:rsidRPr="007E286F" w:rsidRDefault="00F01DBE" w:rsidP="007E286F">
            <w:pPr>
              <w:autoSpaceDE w:val="0"/>
              <w:autoSpaceDN w:val="0"/>
              <w:adjustRightInd w:val="0"/>
              <w:spacing w:before="60" w:line="276" w:lineRule="auto"/>
              <w:jc w:val="both"/>
              <w:rPr>
                <w:rFonts w:eastAsia="Calibri"/>
                <w:sz w:val="24"/>
                <w:szCs w:val="24"/>
              </w:rPr>
            </w:pPr>
            <w:r w:rsidRPr="007E286F">
              <w:rPr>
                <w:rFonts w:eastAsia="Calibri"/>
                <w:sz w:val="24"/>
                <w:szCs w:val="24"/>
              </w:rPr>
              <w:t xml:space="preserve">Proběhla realizace výstavy s kritickým katalogem </w:t>
            </w:r>
            <w:r w:rsidRPr="007E286F">
              <w:rPr>
                <w:rFonts w:eastAsia="Calibri"/>
                <w:i/>
                <w:iCs/>
                <w:sz w:val="24"/>
                <w:szCs w:val="24"/>
              </w:rPr>
              <w:t>Josef Mánes. Člověk – umělec – legenda</w:t>
            </w:r>
            <w:r w:rsidRPr="007E286F">
              <w:rPr>
                <w:rFonts w:eastAsia="Calibri"/>
                <w:sz w:val="24"/>
                <w:szCs w:val="24"/>
              </w:rPr>
              <w:t>.</w:t>
            </w:r>
            <w:r w:rsidR="007E286F">
              <w:rPr>
                <w:rFonts w:eastAsia="Calibri"/>
                <w:sz w:val="24"/>
                <w:szCs w:val="24"/>
              </w:rPr>
              <w:t xml:space="preserve"> </w:t>
            </w:r>
            <w:r w:rsidRPr="007E286F">
              <w:rPr>
                <w:rFonts w:eastAsia="Calibri"/>
                <w:sz w:val="24"/>
                <w:szCs w:val="24"/>
              </w:rPr>
              <w:t>Vzhledem ke změně výstavního plánu byla realizace výstavy přesunuta z roku 2022 na rok 2023 (v původně plánovaném termínu se nakonec rozhodl prostor Valdštejnské jízdárny využít k vlastnímu výstavnímu projektu majitel – Senát ČR). Byla publikována plánována studie a VO připravila ke stému výročí státního nákupu francouzského umění mezinárodní konferenci a další odborné akce. Dílčí cíl byl splněn.</w:t>
            </w:r>
          </w:p>
          <w:p w14:paraId="549FE295" w14:textId="1E8C1CE6"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sidR="007E286F">
              <w:rPr>
                <w:rFonts w:eastAsia="Calibri"/>
                <w:b/>
                <w:bCs/>
                <w:sz w:val="24"/>
                <w:szCs w:val="24"/>
              </w:rPr>
              <w:t xml:space="preserve"> oblasti</w:t>
            </w:r>
            <w:r w:rsidRPr="007E286F">
              <w:rPr>
                <w:rFonts w:eastAsia="Calibri"/>
                <w:b/>
                <w:bCs/>
                <w:sz w:val="24"/>
                <w:szCs w:val="24"/>
              </w:rPr>
              <w:t xml:space="preserve"> č. 3 – Moderní a současné umění</w:t>
            </w:r>
          </w:p>
          <w:p w14:paraId="49856134" w14:textId="13973219"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Zpracovat velké osobnosti a témata umění po roce 1945 prostřednictvím výstav a nové stálé expozice (2021–2023)</w:t>
            </w:r>
          </w:p>
          <w:p w14:paraId="658C0508" w14:textId="51732940" w:rsidR="00F01DBE" w:rsidRPr="007E286F" w:rsidRDefault="00F01DBE" w:rsidP="007E286F">
            <w:pPr>
              <w:autoSpaceDE w:val="0"/>
              <w:autoSpaceDN w:val="0"/>
              <w:adjustRightInd w:val="0"/>
              <w:spacing w:before="60" w:line="276" w:lineRule="auto"/>
              <w:jc w:val="both"/>
              <w:rPr>
                <w:rFonts w:eastAsia="Calibri"/>
                <w:sz w:val="24"/>
                <w:szCs w:val="24"/>
              </w:rPr>
            </w:pPr>
            <w:r w:rsidRPr="007E286F">
              <w:rPr>
                <w:rFonts w:eastAsia="Calibri"/>
                <w:sz w:val="24"/>
                <w:szCs w:val="24"/>
              </w:rPr>
              <w:t xml:space="preserve">Dílčí cíl byl splněn. Výzkumná oblast realizovala výstavní projekt, kritický katalog a databáze. Došlo k otevření dlouho připravované expozice moderního a současného umění s názvem </w:t>
            </w:r>
            <w:r w:rsidRPr="007E286F">
              <w:rPr>
                <w:rFonts w:eastAsia="Calibri"/>
                <w:i/>
                <w:iCs/>
                <w:sz w:val="24"/>
                <w:szCs w:val="24"/>
              </w:rPr>
              <w:t xml:space="preserve">1939–2021 Konec černobílé doby </w:t>
            </w:r>
            <w:r w:rsidRPr="007E286F">
              <w:rPr>
                <w:rFonts w:eastAsia="Calibri"/>
                <w:sz w:val="24"/>
                <w:szCs w:val="24"/>
              </w:rPr>
              <w:t xml:space="preserve">a výběru prezentace uměleckých děl v online databázi </w:t>
            </w:r>
            <w:r w:rsidRPr="007E286F">
              <w:rPr>
                <w:rFonts w:eastAsia="Calibri"/>
                <w:i/>
                <w:iCs/>
                <w:sz w:val="24"/>
                <w:szCs w:val="24"/>
              </w:rPr>
              <w:t>Umění po roce 1939</w:t>
            </w:r>
            <w:r w:rsidRPr="007E286F">
              <w:rPr>
                <w:rFonts w:eastAsia="Calibri"/>
                <w:sz w:val="24"/>
                <w:szCs w:val="24"/>
              </w:rPr>
              <w:t>.</w:t>
            </w:r>
          </w:p>
          <w:p w14:paraId="47A9F293" w14:textId="4C887C58"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sidR="007E286F">
              <w:rPr>
                <w:rFonts w:eastAsia="Calibri"/>
                <w:b/>
                <w:bCs/>
                <w:sz w:val="24"/>
                <w:szCs w:val="24"/>
              </w:rPr>
              <w:t xml:space="preserve"> oblasti</w:t>
            </w:r>
            <w:r w:rsidRPr="007E286F">
              <w:rPr>
                <w:rFonts w:eastAsia="Calibri"/>
                <w:b/>
                <w:bCs/>
                <w:sz w:val="24"/>
                <w:szCs w:val="24"/>
              </w:rPr>
              <w:t xml:space="preserve"> č. 4 – Umění grafiky a kresby</w:t>
            </w:r>
          </w:p>
          <w:p w14:paraId="5DCBD61B"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(A) Zpracování úseku staré kresby a grafiky, evropské manýristické grafiky, staré</w:t>
            </w:r>
          </w:p>
          <w:p w14:paraId="6FE1A871"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italské kresby (2019–2022)</w:t>
            </w:r>
          </w:p>
          <w:p w14:paraId="66AA94EA" w14:textId="75A5E6FF" w:rsidR="00F01DBE" w:rsidRPr="007E286F" w:rsidRDefault="00F01DBE" w:rsidP="007E286F">
            <w:pPr>
              <w:autoSpaceDE w:val="0"/>
              <w:autoSpaceDN w:val="0"/>
              <w:adjustRightInd w:val="0"/>
              <w:spacing w:before="60" w:line="276" w:lineRule="auto"/>
              <w:jc w:val="both"/>
              <w:rPr>
                <w:rFonts w:eastAsia="Calibri"/>
                <w:sz w:val="24"/>
                <w:szCs w:val="24"/>
              </w:rPr>
            </w:pPr>
            <w:r w:rsidRPr="007E286F">
              <w:rPr>
                <w:rFonts w:eastAsia="Calibri"/>
                <w:sz w:val="24"/>
                <w:szCs w:val="24"/>
              </w:rPr>
              <w:t xml:space="preserve">Dílčí cíl byl </w:t>
            </w:r>
            <w:r w:rsidR="00CF69CC">
              <w:rPr>
                <w:rFonts w:eastAsia="Calibri"/>
                <w:sz w:val="24"/>
                <w:szCs w:val="24"/>
              </w:rPr>
              <w:t xml:space="preserve">částečně </w:t>
            </w:r>
            <w:r w:rsidRPr="007E286F">
              <w:rPr>
                <w:rFonts w:eastAsia="Calibri"/>
                <w:sz w:val="24"/>
                <w:szCs w:val="24"/>
              </w:rPr>
              <w:t>splněn se zaměřením na zpracování části sbírky staré italské kresby. Vzhledem k velkému rozsahu rukopisu byl katalog vydán v roce 2023. U dílčího cíle Manýristická grafika byl postup prací</w:t>
            </w:r>
            <w:r w:rsidR="00484E2C">
              <w:rPr>
                <w:rFonts w:eastAsia="Calibri"/>
                <w:sz w:val="24"/>
                <w:szCs w:val="24"/>
              </w:rPr>
              <w:t xml:space="preserve"> </w:t>
            </w:r>
            <w:r w:rsidRPr="007E286F">
              <w:rPr>
                <w:rFonts w:eastAsia="Calibri"/>
                <w:sz w:val="24"/>
                <w:szCs w:val="24"/>
              </w:rPr>
              <w:t>v roce 2023 ztížen nejen změnou výstavního plánu, ale i personálními změnami v</w:t>
            </w:r>
            <w:r w:rsidR="001B0796">
              <w:rPr>
                <w:rFonts w:eastAsia="Calibri"/>
                <w:sz w:val="24"/>
                <w:szCs w:val="24"/>
              </w:rPr>
              <w:t> </w:t>
            </w:r>
            <w:r w:rsidRPr="007E286F">
              <w:rPr>
                <w:rFonts w:eastAsia="Calibri"/>
                <w:sz w:val="24"/>
                <w:szCs w:val="24"/>
              </w:rPr>
              <w:t>partnerské</w:t>
            </w:r>
            <w:r w:rsidR="001B0796">
              <w:rPr>
                <w:rFonts w:eastAsia="Calibri"/>
                <w:sz w:val="24"/>
                <w:szCs w:val="24"/>
              </w:rPr>
              <w:t xml:space="preserve"> </w:t>
            </w:r>
            <w:r w:rsidRPr="007E286F">
              <w:rPr>
                <w:rFonts w:eastAsia="Calibri"/>
                <w:sz w:val="24"/>
                <w:szCs w:val="24"/>
              </w:rPr>
              <w:t>organizaci Musée du Louvre, Paříž. Výstavní projekt a realizace katalogu byla odložena na rok 2024, pokračovalo se v překladech latinských textových částí grafických listů a ve fotodokumentaci grafických listů a v jejich odborném zpracování (cca 350 grafik). Byla zpracována online databáze manýristické grafiky.</w:t>
            </w:r>
          </w:p>
          <w:p w14:paraId="391FB332"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2. (B) Zpracovat část kresby a grafiky 19. a první poloviny 20. století, zejména</w:t>
            </w:r>
          </w:p>
          <w:p w14:paraId="102A4502"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tzv. francouzské sbírky (2020–2023)</w:t>
            </w:r>
          </w:p>
          <w:p w14:paraId="7946E047" w14:textId="5D6215F2" w:rsidR="00F01DBE" w:rsidRPr="007E286F" w:rsidRDefault="00406FD5" w:rsidP="007E286F">
            <w:pPr>
              <w:autoSpaceDE w:val="0"/>
              <w:autoSpaceDN w:val="0"/>
              <w:adjustRightInd w:val="0"/>
              <w:spacing w:before="60" w:line="276" w:lineRule="auto"/>
              <w:jc w:val="both"/>
              <w:rPr>
                <w:rFonts w:eastAsia="Calibri"/>
                <w:sz w:val="24"/>
                <w:szCs w:val="24"/>
              </w:rPr>
            </w:pPr>
            <w:r>
              <w:rPr>
                <w:rFonts w:eastAsia="Calibri"/>
                <w:sz w:val="24"/>
                <w:szCs w:val="24"/>
              </w:rPr>
              <w:t xml:space="preserve">Dílčí cíl byl částečně splněn. </w:t>
            </w:r>
            <w:r w:rsidR="00F01DBE" w:rsidRPr="007E286F">
              <w:rPr>
                <w:rFonts w:eastAsia="Calibri"/>
                <w:sz w:val="24"/>
                <w:szCs w:val="24"/>
              </w:rPr>
              <w:t>Vzhledem k personálním změnám a dočasného působení hlavní autorky Soupisového katalogu mimo Sbírku grafiky a kresby došlo k posunu vydání. Během roku 2023 byla dokončena dokumentace fondu. Celý soupis bude obsahovat cca 200 hesel. Společně byl dokončen výběr hesel jejich</w:t>
            </w:r>
            <w:r w:rsidR="008C0D23">
              <w:rPr>
                <w:rFonts w:eastAsia="Calibri"/>
                <w:sz w:val="24"/>
                <w:szCs w:val="24"/>
              </w:rPr>
              <w:t xml:space="preserve"> </w:t>
            </w:r>
            <w:r w:rsidR="00F01DBE" w:rsidRPr="007E286F">
              <w:rPr>
                <w:rFonts w:eastAsia="Calibri"/>
                <w:sz w:val="24"/>
                <w:szCs w:val="24"/>
              </w:rPr>
              <w:t>zpracovateli a došlo k dopracování koncepce katalogu. Během výzkumu se ukázalo, že mnoho</w:t>
            </w:r>
            <w:r w:rsidR="008C0D23">
              <w:rPr>
                <w:rFonts w:eastAsia="Calibri"/>
                <w:sz w:val="24"/>
                <w:szCs w:val="24"/>
              </w:rPr>
              <w:t xml:space="preserve"> </w:t>
            </w:r>
            <w:r w:rsidR="00F01DBE" w:rsidRPr="007E286F">
              <w:rPr>
                <w:rFonts w:eastAsia="Calibri"/>
                <w:sz w:val="24"/>
                <w:szCs w:val="24"/>
              </w:rPr>
              <w:t xml:space="preserve">původních atribucí kreseb </w:t>
            </w:r>
            <w:r w:rsidR="00F01DBE" w:rsidRPr="007E286F">
              <w:rPr>
                <w:rFonts w:eastAsia="Calibri"/>
                <w:sz w:val="24"/>
                <w:szCs w:val="24"/>
              </w:rPr>
              <w:lastRenderedPageBreak/>
              <w:t>francouzského okruhu 19. a první poloviny 20. století bylo chybně určených a bude zapotřebí hlubšího průzkumu zvláště v rámci znalectví. Tato závažná zjištění časově zatížila plnění cíle. Publikační výsledek B byl nahrazen jiným titulem.</w:t>
            </w:r>
          </w:p>
          <w:p w14:paraId="2F170712" w14:textId="316A123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sidR="007E286F">
              <w:rPr>
                <w:rFonts w:eastAsia="Calibri"/>
                <w:b/>
                <w:bCs/>
                <w:sz w:val="24"/>
                <w:szCs w:val="24"/>
              </w:rPr>
              <w:t xml:space="preserve"> oblasti</w:t>
            </w:r>
            <w:r w:rsidRPr="007E286F">
              <w:rPr>
                <w:rFonts w:eastAsia="Calibri"/>
                <w:b/>
                <w:bCs/>
                <w:sz w:val="24"/>
                <w:szCs w:val="24"/>
              </w:rPr>
              <w:t xml:space="preserve"> č. 5 – Asijské umění</w:t>
            </w:r>
          </w:p>
          <w:p w14:paraId="2176FA02"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(B) Zpracování konvolutu buddhistického umění</w:t>
            </w:r>
          </w:p>
          <w:p w14:paraId="4BDCA916" w14:textId="16F0DB87" w:rsidR="00F01DBE" w:rsidRPr="007E286F" w:rsidRDefault="00F01DBE" w:rsidP="007E286F">
            <w:pPr>
              <w:autoSpaceDE w:val="0"/>
              <w:autoSpaceDN w:val="0"/>
              <w:adjustRightInd w:val="0"/>
              <w:spacing w:before="60" w:line="276" w:lineRule="auto"/>
              <w:jc w:val="both"/>
              <w:rPr>
                <w:rFonts w:eastAsia="Calibri"/>
                <w:sz w:val="24"/>
                <w:szCs w:val="24"/>
              </w:rPr>
            </w:pPr>
            <w:r w:rsidRPr="007E286F">
              <w:rPr>
                <w:rFonts w:eastAsia="Calibri"/>
                <w:sz w:val="24"/>
                <w:szCs w:val="24"/>
              </w:rPr>
              <w:t>Pokračovalo se v dlouhodobém zpracování soupisového katalogu, který bude vzhledem k rozsahu,</w:t>
            </w:r>
            <w:r w:rsidR="00DB13FD">
              <w:rPr>
                <w:rFonts w:eastAsia="Calibri"/>
                <w:sz w:val="24"/>
                <w:szCs w:val="24"/>
              </w:rPr>
              <w:t xml:space="preserve"> </w:t>
            </w:r>
            <w:r w:rsidRPr="007E286F">
              <w:rPr>
                <w:rFonts w:eastAsia="Calibri"/>
                <w:sz w:val="24"/>
                <w:szCs w:val="24"/>
              </w:rPr>
              <w:t>počtu autorů a komplexnosti tématu dokončen v následujícím roce. Publikační výsledek typu B byl nahrazen jiným titulem.</w:t>
            </w:r>
          </w:p>
          <w:p w14:paraId="6465E35F" w14:textId="184B5B15"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sidR="007E286F">
              <w:rPr>
                <w:rFonts w:eastAsia="Calibri"/>
                <w:b/>
                <w:bCs/>
                <w:sz w:val="24"/>
                <w:szCs w:val="24"/>
              </w:rPr>
              <w:t xml:space="preserve"> oblasti</w:t>
            </w:r>
            <w:r w:rsidRPr="007E286F">
              <w:rPr>
                <w:rFonts w:eastAsia="Calibri"/>
                <w:b/>
                <w:bCs/>
                <w:sz w:val="24"/>
                <w:szCs w:val="24"/>
              </w:rPr>
              <w:t xml:space="preserve"> č. 6 – Komplexní průzkum výtvarných materiálů ve výtvarných objektech od 13. do 19. století a vytvoření databáze mikroskopických a spektroskopických dat (2019–2023)</w:t>
            </w:r>
          </w:p>
          <w:p w14:paraId="33D0ACD2"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Zpracování materiálů pigmentů v malířských dílech 13. až 19. století</w:t>
            </w:r>
          </w:p>
          <w:p w14:paraId="322EAE08" w14:textId="164CA56D" w:rsidR="00F01DBE" w:rsidRPr="007E286F" w:rsidRDefault="00F01DBE" w:rsidP="007E286F">
            <w:pPr>
              <w:autoSpaceDE w:val="0"/>
              <w:autoSpaceDN w:val="0"/>
              <w:adjustRightInd w:val="0"/>
              <w:spacing w:before="60" w:line="276" w:lineRule="auto"/>
              <w:jc w:val="both"/>
              <w:rPr>
                <w:rFonts w:eastAsia="Calibri"/>
                <w:sz w:val="24"/>
                <w:szCs w:val="24"/>
              </w:rPr>
            </w:pPr>
            <w:r w:rsidRPr="007E286F">
              <w:rPr>
                <w:rFonts w:eastAsia="Calibri"/>
                <w:sz w:val="24"/>
                <w:szCs w:val="24"/>
              </w:rPr>
              <w:t>Dílčí cíl byl splněn. V roce 2023 odborní výzkumní pracovníci chemicko-technologické laboratoře</w:t>
            </w:r>
            <w:r w:rsidR="00DB13FD">
              <w:rPr>
                <w:rFonts w:eastAsia="Calibri"/>
                <w:sz w:val="24"/>
                <w:szCs w:val="24"/>
              </w:rPr>
              <w:t xml:space="preserve"> </w:t>
            </w:r>
            <w:r w:rsidRPr="007E286F">
              <w:rPr>
                <w:rFonts w:eastAsia="Calibri"/>
                <w:sz w:val="24"/>
                <w:szCs w:val="24"/>
              </w:rPr>
              <w:t>pokračovali v dokončení dlouhodobého cíle a finalizaci konkrétních výsledků. Po celý rok byla</w:t>
            </w:r>
            <w:r w:rsidR="00DB13FD">
              <w:rPr>
                <w:rFonts w:eastAsia="Calibri"/>
                <w:sz w:val="24"/>
                <w:szCs w:val="24"/>
              </w:rPr>
              <w:t xml:space="preserve"> </w:t>
            </w:r>
            <w:r w:rsidRPr="007E286F">
              <w:rPr>
                <w:rFonts w:eastAsia="Calibri"/>
                <w:sz w:val="24"/>
                <w:szCs w:val="24"/>
              </w:rPr>
              <w:t>finalizována úprava dat do odborného výstupu typu S Databáze uměleckých materiálů (</w:t>
            </w:r>
            <w:r w:rsidRPr="007E286F">
              <w:rPr>
                <w:rFonts w:eastAsia="Calibri"/>
                <w:i/>
                <w:iCs/>
                <w:sz w:val="24"/>
                <w:szCs w:val="24"/>
              </w:rPr>
              <w:t>DatUM</w:t>
            </w:r>
            <w:r w:rsidRPr="007E286F">
              <w:rPr>
                <w:rFonts w:eastAsia="Calibri"/>
                <w:sz w:val="24"/>
                <w:szCs w:val="24"/>
              </w:rPr>
              <w:t>). Byla dokončena příprava textů a dat pro plánovaný výstup B odborná kniha s názvem „Pigmenty a jejich identifikace“.</w:t>
            </w:r>
          </w:p>
          <w:p w14:paraId="3267FF3C" w14:textId="65FD32FC"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sidR="007E286F">
              <w:rPr>
                <w:rFonts w:eastAsia="Calibri"/>
                <w:b/>
                <w:bCs/>
                <w:sz w:val="24"/>
                <w:szCs w:val="24"/>
              </w:rPr>
              <w:t xml:space="preserve"> oblasti</w:t>
            </w:r>
            <w:r w:rsidRPr="007E286F">
              <w:rPr>
                <w:rFonts w:eastAsia="Calibri"/>
                <w:b/>
                <w:bCs/>
                <w:sz w:val="24"/>
                <w:szCs w:val="24"/>
              </w:rPr>
              <w:t xml:space="preserve"> č. 7 – Zpracování (inventarizace) archivního fondu Národní galerie v Praze z let 1945 až 1990 ve správě NGP (2019–2023)</w:t>
            </w:r>
          </w:p>
          <w:p w14:paraId="5AB770E5"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Inventarizace fondu</w:t>
            </w:r>
          </w:p>
          <w:p w14:paraId="358ABDF5" w14:textId="27E4A5C1" w:rsidR="00F01DBE" w:rsidRPr="007E286F" w:rsidRDefault="00F01DBE" w:rsidP="007E286F">
            <w:pPr>
              <w:autoSpaceDE w:val="0"/>
              <w:autoSpaceDN w:val="0"/>
              <w:adjustRightInd w:val="0"/>
              <w:spacing w:before="60" w:line="276" w:lineRule="auto"/>
              <w:jc w:val="both"/>
              <w:rPr>
                <w:rFonts w:eastAsia="Calibri"/>
                <w:sz w:val="24"/>
                <w:szCs w:val="24"/>
              </w:rPr>
            </w:pPr>
            <w:r w:rsidRPr="007E286F">
              <w:rPr>
                <w:rFonts w:eastAsia="Calibri"/>
                <w:sz w:val="24"/>
                <w:szCs w:val="24"/>
              </w:rPr>
              <w:t>Realizace dílčího cíle je dlouhodobým projektem a prezentace zpracovaných inventářů v</w:t>
            </w:r>
            <w:r w:rsidR="00543F5A">
              <w:rPr>
                <w:rFonts w:eastAsia="Calibri"/>
                <w:sz w:val="24"/>
                <w:szCs w:val="24"/>
              </w:rPr>
              <w:t> </w:t>
            </w:r>
            <w:r w:rsidRPr="007E286F">
              <w:rPr>
                <w:rFonts w:eastAsia="Calibri"/>
                <w:sz w:val="24"/>
                <w:szCs w:val="24"/>
              </w:rPr>
              <w:t>online</w:t>
            </w:r>
            <w:r w:rsidR="00543F5A">
              <w:rPr>
                <w:rFonts w:eastAsia="Calibri"/>
                <w:sz w:val="24"/>
                <w:szCs w:val="24"/>
              </w:rPr>
              <w:t xml:space="preserve"> </w:t>
            </w:r>
            <w:r w:rsidRPr="007E286F">
              <w:rPr>
                <w:rFonts w:eastAsia="Calibri"/>
                <w:sz w:val="24"/>
                <w:szCs w:val="24"/>
              </w:rPr>
              <w:t>podobě je atraktivním nástrojem pro badatele. V roce 2023 probíhaly práce na zbylých částech</w:t>
            </w:r>
            <w:r w:rsidR="00543F5A">
              <w:rPr>
                <w:rFonts w:eastAsia="Calibri"/>
                <w:sz w:val="24"/>
                <w:szCs w:val="24"/>
              </w:rPr>
              <w:t xml:space="preserve"> </w:t>
            </w:r>
            <w:r w:rsidRPr="007E286F">
              <w:rPr>
                <w:rFonts w:eastAsia="Calibri"/>
                <w:sz w:val="24"/>
                <w:szCs w:val="24"/>
              </w:rPr>
              <w:t>archivního fondu. Pokračovalo pořádání archivního fondu Národní galerie v Praze (1945–1958, 1981–1985, 1986–1990), rozsah zpracovaných manipulací byl přes 200 kartonů. Mezi nejzajímavější spisy náleží materiály týkající se budování galerie po válce, řešení přidělování budov i novostaveb galerie nebo spisy k mimořádným akvizicím a výstavám.</w:t>
            </w:r>
          </w:p>
          <w:p w14:paraId="26A623AB" w14:textId="531DA91F"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sidR="007E286F">
              <w:rPr>
                <w:rFonts w:eastAsia="Calibri"/>
                <w:b/>
                <w:bCs/>
                <w:sz w:val="24"/>
                <w:szCs w:val="24"/>
              </w:rPr>
              <w:t xml:space="preserve"> oblasti</w:t>
            </w:r>
            <w:r w:rsidRPr="007E286F">
              <w:rPr>
                <w:rFonts w:eastAsia="Calibri"/>
                <w:b/>
                <w:bCs/>
                <w:sz w:val="24"/>
                <w:szCs w:val="24"/>
              </w:rPr>
              <w:t xml:space="preserve"> č. 8 – Prezentace výsledků výzkumu a vývoje, podpora vědecko-výzkumné</w:t>
            </w:r>
          </w:p>
          <w:p w14:paraId="4EB30B6C" w14:textId="77777777"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a publikační činnosti pracovníků NGP</w:t>
            </w:r>
          </w:p>
          <w:p w14:paraId="716860CC" w14:textId="3CEB9375"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(A) Podpora publikační činnosti zaměřená zejména na odborné studie a monografie (2021–2023)</w:t>
            </w:r>
          </w:p>
          <w:p w14:paraId="46653DCB" w14:textId="09B7B48F" w:rsidR="00F01DBE" w:rsidRPr="007E286F" w:rsidRDefault="00F01DBE" w:rsidP="007E286F">
            <w:pPr>
              <w:autoSpaceDE w:val="0"/>
              <w:autoSpaceDN w:val="0"/>
              <w:adjustRightInd w:val="0"/>
              <w:spacing w:before="60" w:line="276" w:lineRule="auto"/>
              <w:jc w:val="both"/>
              <w:rPr>
                <w:rFonts w:eastAsia="Calibri"/>
                <w:sz w:val="24"/>
                <w:szCs w:val="24"/>
              </w:rPr>
            </w:pPr>
            <w:r w:rsidRPr="007E286F">
              <w:rPr>
                <w:rFonts w:eastAsia="Calibri"/>
                <w:sz w:val="24"/>
                <w:szCs w:val="24"/>
              </w:rPr>
              <w:t>Od roku 2021 je zřízena nová průřezová výzkumná oblast, která koordinuje vnitřní komunikaci při</w:t>
            </w:r>
            <w:r w:rsidR="002C6E6C">
              <w:rPr>
                <w:rFonts w:eastAsia="Calibri"/>
                <w:sz w:val="24"/>
                <w:szCs w:val="24"/>
              </w:rPr>
              <w:t xml:space="preserve"> </w:t>
            </w:r>
            <w:r w:rsidRPr="007E286F">
              <w:rPr>
                <w:rFonts w:eastAsia="Calibri"/>
                <w:sz w:val="24"/>
                <w:szCs w:val="24"/>
              </w:rPr>
              <w:t xml:space="preserve">plnění naplánovaných výstupů vědecko-výzkumné činnosti a podporuje realizaci vědeckých výstupů NGP. V roce 2023 bylo zorganizováno jednání redakčních rad časopisů, jednání ediční a vědecké rady NGP. Dále bylo organizačně a redakčně zajištěno vydání periodik </w:t>
            </w:r>
            <w:r w:rsidRPr="007E286F">
              <w:rPr>
                <w:rFonts w:eastAsia="Calibri"/>
                <w:i/>
                <w:iCs/>
                <w:sz w:val="24"/>
                <w:szCs w:val="24"/>
              </w:rPr>
              <w:t xml:space="preserve">Bulletin Národní galerie v Praze </w:t>
            </w:r>
            <w:r w:rsidRPr="007E286F">
              <w:rPr>
                <w:rFonts w:eastAsia="Calibri"/>
                <w:sz w:val="24"/>
                <w:szCs w:val="24"/>
              </w:rPr>
              <w:t xml:space="preserve">a </w:t>
            </w:r>
            <w:r w:rsidRPr="007E286F">
              <w:rPr>
                <w:rFonts w:eastAsia="Calibri"/>
                <w:i/>
                <w:iCs/>
                <w:sz w:val="24"/>
                <w:szCs w:val="24"/>
              </w:rPr>
              <w:t xml:space="preserve">Ars linearis </w:t>
            </w:r>
            <w:r w:rsidRPr="007E286F">
              <w:rPr>
                <w:rFonts w:eastAsia="Calibri"/>
                <w:sz w:val="24"/>
                <w:szCs w:val="24"/>
              </w:rPr>
              <w:t>Proběhla realizace studií (výsledky J). Náplň dílčího cíle byla realizována v plné šíři a výstupy splněny.</w:t>
            </w:r>
          </w:p>
          <w:p w14:paraId="5424ABFF" w14:textId="4AEF6D5C" w:rsidR="00F01DBE" w:rsidRPr="007E286F" w:rsidRDefault="00F01DBE" w:rsidP="007E286F">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2. (B) Dlouhodobé uchování, udržitelnost a prezentace online databází NGP, podpora publikování výsledků výzkumu a vývoje elektronickou formou, podpora publikování e-knih (2021–2023)</w:t>
            </w:r>
          </w:p>
          <w:p w14:paraId="30FBB64C" w14:textId="5F4467E0" w:rsidR="002E668F" w:rsidRPr="007E286F" w:rsidRDefault="00F01DBE" w:rsidP="002C6E6C">
            <w:pPr>
              <w:autoSpaceDE w:val="0"/>
              <w:autoSpaceDN w:val="0"/>
              <w:adjustRightInd w:val="0"/>
              <w:spacing w:before="60" w:line="276" w:lineRule="auto"/>
              <w:jc w:val="both"/>
              <w:rPr>
                <w:rFonts w:eastAsia="Calibri"/>
                <w:sz w:val="24"/>
                <w:szCs w:val="24"/>
              </w:rPr>
            </w:pPr>
            <w:r w:rsidRPr="007E286F">
              <w:rPr>
                <w:rFonts w:eastAsia="Calibri"/>
                <w:sz w:val="24"/>
                <w:szCs w:val="24"/>
              </w:rPr>
              <w:t>Dílčí cíl byl úspěšně naplněn – proběhlo další rozšíření platformy pro soupisové katalogy online a</w:t>
            </w:r>
            <w:r w:rsidR="002C6E6C">
              <w:rPr>
                <w:rFonts w:eastAsia="Calibri"/>
                <w:sz w:val="24"/>
                <w:szCs w:val="24"/>
              </w:rPr>
              <w:t xml:space="preserve"> </w:t>
            </w:r>
            <w:r w:rsidRPr="007E286F">
              <w:rPr>
                <w:rFonts w:eastAsia="Calibri"/>
                <w:sz w:val="24"/>
                <w:szCs w:val="24"/>
              </w:rPr>
              <w:t>zajištění technické infrastruktury a její funkcionality pro databáze IP DKRVO. Dále byla zajištěna</w:t>
            </w:r>
            <w:r w:rsidR="002C6E6C">
              <w:rPr>
                <w:rFonts w:eastAsia="Calibri"/>
                <w:sz w:val="24"/>
                <w:szCs w:val="24"/>
              </w:rPr>
              <w:t xml:space="preserve"> </w:t>
            </w:r>
            <w:r w:rsidRPr="007E286F">
              <w:rPr>
                <w:rFonts w:eastAsia="Calibri"/>
                <w:sz w:val="24"/>
                <w:szCs w:val="24"/>
              </w:rPr>
              <w:t xml:space="preserve">uživatelská podpora pro kurátory a pomocné administrativní síly při </w:t>
            </w:r>
            <w:r w:rsidRPr="007E286F">
              <w:rPr>
                <w:rFonts w:eastAsia="Calibri"/>
                <w:sz w:val="24"/>
                <w:szCs w:val="24"/>
              </w:rPr>
              <w:lastRenderedPageBreak/>
              <w:t>vkládání dat do databáze. Proběhla analýza možností a forem publikování e-knih NGP. Systém při vyřizování repropráv a</w:t>
            </w:r>
            <w:r w:rsidR="002C6E6C">
              <w:rPr>
                <w:rFonts w:eastAsia="Calibri"/>
                <w:sz w:val="24"/>
                <w:szCs w:val="24"/>
              </w:rPr>
              <w:t xml:space="preserve"> </w:t>
            </w:r>
            <w:r w:rsidRPr="007E286F">
              <w:rPr>
                <w:rFonts w:eastAsia="Calibri"/>
                <w:sz w:val="24"/>
                <w:szCs w:val="24"/>
              </w:rPr>
              <w:t>autorských práv se upravil tak, aby bylo možné vybrané tituly publikací zveřejňovat i v elektronické formě.</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43845C6F" w14:textId="44DD3A3E" w:rsidR="00061D34" w:rsidRPr="00283B58" w:rsidRDefault="00057222" w:rsidP="007E286F">
            <w:pPr>
              <w:autoSpaceDE w:val="0"/>
              <w:autoSpaceDN w:val="0"/>
              <w:adjustRightInd w:val="0"/>
              <w:spacing w:before="60" w:line="288" w:lineRule="auto"/>
              <w:jc w:val="both"/>
              <w:rPr>
                <w:rFonts w:eastAsia="Calibri"/>
                <w:sz w:val="24"/>
                <w:szCs w:val="24"/>
              </w:rPr>
            </w:pPr>
            <w:r w:rsidRPr="00283B58">
              <w:rPr>
                <w:rFonts w:eastAsia="Calibri"/>
                <w:sz w:val="24"/>
                <w:szCs w:val="24"/>
              </w:rPr>
              <w:t xml:space="preserve">Vymezené dílčí cíle a počty aplikovaných i publikačních výsledků byly </w:t>
            </w:r>
            <w:r w:rsidR="009D49B3" w:rsidRPr="00283B58">
              <w:rPr>
                <w:rFonts w:eastAsia="Calibri"/>
                <w:sz w:val="24"/>
                <w:szCs w:val="24"/>
              </w:rPr>
              <w:t>splněny nebo částečn</w:t>
            </w:r>
            <w:r w:rsidR="00274C26" w:rsidRPr="00283B58">
              <w:rPr>
                <w:rFonts w:eastAsia="Calibri"/>
                <w:sz w:val="24"/>
                <w:szCs w:val="24"/>
              </w:rPr>
              <w:t>ě</w:t>
            </w:r>
            <w:r w:rsidR="009D49B3" w:rsidRPr="00283B58">
              <w:rPr>
                <w:rFonts w:eastAsia="Calibri"/>
                <w:sz w:val="24"/>
                <w:szCs w:val="24"/>
              </w:rPr>
              <w:t xml:space="preserve"> splněny, přičemž zdůvodnění částečného splnění některých dílčích cílů lze přijmout</w:t>
            </w:r>
            <w:r w:rsidR="00274C26" w:rsidRPr="00283B58">
              <w:rPr>
                <w:rFonts w:eastAsia="Calibri"/>
                <w:sz w:val="24"/>
                <w:szCs w:val="24"/>
              </w:rPr>
              <w:t xml:space="preserve"> bez výhrad</w:t>
            </w:r>
            <w:r w:rsidR="00127374" w:rsidRPr="00283B58">
              <w:rPr>
                <w:rFonts w:eastAsia="Calibri"/>
                <w:sz w:val="24"/>
                <w:szCs w:val="24"/>
              </w:rPr>
              <w:t>.</w:t>
            </w:r>
            <w:r w:rsidRPr="00283B58">
              <w:rPr>
                <w:rFonts w:eastAsia="Calibri"/>
                <w:sz w:val="24"/>
                <w:szCs w:val="24"/>
              </w:rPr>
              <w:t xml:space="preserve"> Došlo pouze k posunům či drobným změnám v názvech konkrétních výsledků oproti znění v původní Koncepci. Uplatnil se výsledek Ekrit z plánu roku 2022 z důvodu odložení realizace výstavy Mánes na rok 2023.</w:t>
            </w:r>
          </w:p>
          <w:p w14:paraId="78E0B83E" w14:textId="1DDA74C1" w:rsidR="003B201A" w:rsidRPr="003B201A" w:rsidRDefault="003B201A" w:rsidP="007E286F">
            <w:pPr>
              <w:autoSpaceDE w:val="0"/>
              <w:autoSpaceDN w:val="0"/>
              <w:adjustRightInd w:val="0"/>
              <w:spacing w:before="60" w:line="288" w:lineRule="auto"/>
              <w:jc w:val="both"/>
              <w:rPr>
                <w:rFonts w:ascii="TimesNewRomanPSMT" w:eastAsia="Calibri" w:hAnsi="TimesNewRomanPSMT" w:cs="TimesNewRomanPSMT"/>
                <w:sz w:val="22"/>
                <w:szCs w:val="22"/>
              </w:rPr>
            </w:pPr>
            <w:r w:rsidRPr="00283B58">
              <w:rPr>
                <w:rFonts w:eastAsia="Calibri"/>
                <w:sz w:val="24"/>
                <w:szCs w:val="24"/>
              </w:rPr>
              <w:t>V roce 2023 se podařilo realizovat všechny naplánované výstupy v souladu s Koncepcí (celkem výsledky: 5× B, 1× Ekrit, 6× S, 3× J). V roce 2023 se podařilo realizovat</w:t>
            </w:r>
            <w:r w:rsidR="00A44ECC" w:rsidRPr="00283B58">
              <w:rPr>
                <w:rFonts w:eastAsia="Calibri"/>
                <w:sz w:val="24"/>
                <w:szCs w:val="24"/>
              </w:rPr>
              <w:t xml:space="preserve"> </w:t>
            </w:r>
            <w:r w:rsidRPr="00283B58">
              <w:rPr>
                <w:rFonts w:eastAsia="Calibri"/>
                <w:sz w:val="24"/>
                <w:szCs w:val="24"/>
              </w:rPr>
              <w:t>publikační výstupy nad rámec odsouhlasené Koncepce (celkem výsledky navíc: 4× B, 9× J).</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5A13DB">
        <w:rPr>
          <w:b/>
          <w:sz w:val="24"/>
          <w:szCs w:val="24"/>
          <w:u w:val="single"/>
        </w:rPr>
        <w:t xml:space="preserve">a) </w:t>
      </w:r>
      <w:r w:rsidR="00384D45" w:rsidRPr="005A13DB">
        <w:rPr>
          <w:b/>
          <w:sz w:val="24"/>
          <w:szCs w:val="24"/>
          <w:u w:val="single"/>
        </w:rPr>
        <w:t>Srovnání plánovaných výsledků a uplatněných aplik</w:t>
      </w:r>
      <w:r w:rsidR="005A2287" w:rsidRPr="005A13DB">
        <w:rPr>
          <w:b/>
          <w:sz w:val="24"/>
          <w:szCs w:val="24"/>
          <w:u w:val="single"/>
        </w:rPr>
        <w:t>ovanýc</w:t>
      </w:r>
      <w:r w:rsidR="00384D45" w:rsidRPr="005A13DB">
        <w:rPr>
          <w:b/>
          <w:sz w:val="24"/>
          <w:szCs w:val="24"/>
          <w:u w:val="single"/>
        </w:rPr>
        <w:t>h výsledků</w:t>
      </w:r>
      <w:r w:rsidR="00384D45" w:rsidRPr="00F51386">
        <w:t xml:space="preserve"> </w:t>
      </w:r>
      <w:r w:rsidR="00384D45">
        <w:t>(</w:t>
      </w:r>
      <w:r w:rsidR="00384D45" w:rsidRPr="00F51386">
        <w:t xml:space="preserve">zejm. na základě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r w:rsidRPr="007D1A78">
        <w:rPr>
          <w:rFonts w:ascii="Times New Roman" w:hAnsi="Times New Roman" w:cs="Times New Roman"/>
          <w:b/>
          <w:sz w:val="20"/>
          <w:szCs w:val="20"/>
        </w:rPr>
        <w:t>, Z</w:t>
      </w:r>
      <w:r w:rsidRPr="007D1A78">
        <w:rPr>
          <w:rFonts w:ascii="Times New Roman" w:hAnsi="Times New Roman" w:cs="Times New Roman"/>
          <w:b/>
          <w:sz w:val="20"/>
          <w:szCs w:val="20"/>
          <w:vertAlign w:val="subscript"/>
        </w:rPr>
        <w:t>tech</w:t>
      </w:r>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333E4D" w14:paraId="7D7DFD92" w14:textId="77777777" w:rsidTr="00333E4D">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333E4D" w:rsidRDefault="00333E4D" w:rsidP="00E3712D">
            <w:pPr>
              <w:pStyle w:val="Zkladntext"/>
              <w:spacing w:before="60" w:line="276" w:lineRule="auto"/>
              <w:jc w:val="both"/>
              <w:rPr>
                <w:b/>
                <w:i/>
                <w:sz w:val="20"/>
                <w:szCs w:val="20"/>
              </w:rPr>
            </w:pPr>
            <w:r>
              <w:rPr>
                <w:b/>
                <w:i/>
                <w:sz w:val="20"/>
                <w:szCs w:val="20"/>
              </w:rPr>
              <w:t>Oblast</w:t>
            </w:r>
          </w:p>
        </w:tc>
        <w:tc>
          <w:tcPr>
            <w:tcW w:w="1394" w:type="dxa"/>
            <w:tcBorders>
              <w:top w:val="single" w:sz="12" w:space="0" w:color="auto"/>
              <w:bottom w:val="single" w:sz="12" w:space="0" w:color="auto"/>
            </w:tcBorders>
            <w:shd w:val="clear" w:color="auto" w:fill="D9D9D9"/>
            <w:hideMark/>
          </w:tcPr>
          <w:p w14:paraId="7312C82E" w14:textId="77777777" w:rsidR="00333E4D" w:rsidRDefault="00333E4D" w:rsidP="00E3712D">
            <w:pPr>
              <w:pStyle w:val="Zkladntext"/>
              <w:spacing w:before="60" w:line="276" w:lineRule="auto"/>
              <w:jc w:val="center"/>
              <w:rPr>
                <w:b/>
                <w:i/>
                <w:sz w:val="20"/>
                <w:szCs w:val="20"/>
              </w:rPr>
            </w:pPr>
            <w:r>
              <w:rPr>
                <w:b/>
                <w:i/>
                <w:sz w:val="20"/>
                <w:szCs w:val="20"/>
              </w:rPr>
              <w:t>2023</w:t>
            </w:r>
          </w:p>
          <w:p w14:paraId="329677C9" w14:textId="77777777" w:rsidR="00333E4D" w:rsidRDefault="00333E4D" w:rsidP="00E3712D">
            <w:pPr>
              <w:pStyle w:val="Zkladntext"/>
              <w:spacing w:before="60" w:line="276" w:lineRule="auto"/>
              <w:jc w:val="center"/>
              <w:rPr>
                <w:b/>
                <w:i/>
                <w:sz w:val="20"/>
                <w:szCs w:val="20"/>
              </w:rPr>
            </w:pPr>
            <w:r>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333E4D" w:rsidRDefault="00333E4D" w:rsidP="00E3712D">
            <w:pPr>
              <w:pStyle w:val="Zkladntext"/>
              <w:spacing w:before="60" w:line="276" w:lineRule="auto"/>
              <w:jc w:val="center"/>
              <w:rPr>
                <w:b/>
                <w:i/>
                <w:sz w:val="20"/>
                <w:szCs w:val="20"/>
              </w:rPr>
            </w:pPr>
            <w:r>
              <w:rPr>
                <w:b/>
                <w:i/>
                <w:sz w:val="20"/>
                <w:szCs w:val="20"/>
              </w:rPr>
              <w:t>2023</w:t>
            </w:r>
          </w:p>
          <w:p w14:paraId="6F1A2D4D" w14:textId="77777777" w:rsidR="00333E4D" w:rsidRDefault="00333E4D"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383AC551" w14:textId="2B7416CD" w:rsidR="00333E4D" w:rsidRDefault="00333E4D"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64309E6E" w:rsidR="00333E4D" w:rsidRDefault="00333E4D" w:rsidP="00E3712D">
            <w:pPr>
              <w:pStyle w:val="Zkladntext"/>
              <w:spacing w:before="60" w:line="276" w:lineRule="auto"/>
              <w:jc w:val="center"/>
              <w:rPr>
                <w:b/>
                <w:i/>
                <w:sz w:val="20"/>
                <w:szCs w:val="20"/>
              </w:rPr>
            </w:pPr>
            <w:r>
              <w:rPr>
                <w:b/>
                <w:i/>
                <w:sz w:val="20"/>
                <w:szCs w:val="20"/>
              </w:rPr>
              <w:t>2023</w:t>
            </w:r>
          </w:p>
          <w:p w14:paraId="384E91F5" w14:textId="77777777" w:rsidR="00333E4D" w:rsidRDefault="00333E4D"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333E4D" w:rsidRDefault="00333E4D" w:rsidP="00E3712D">
            <w:pPr>
              <w:pStyle w:val="Zkladntext"/>
              <w:spacing w:before="60" w:line="276" w:lineRule="auto"/>
              <w:jc w:val="center"/>
              <w:rPr>
                <w:b/>
                <w:i/>
                <w:sz w:val="20"/>
                <w:szCs w:val="20"/>
              </w:rPr>
            </w:pPr>
            <w:r>
              <w:rPr>
                <w:b/>
                <w:i/>
                <w:sz w:val="20"/>
                <w:szCs w:val="20"/>
              </w:rPr>
              <w:t>2019-2022</w:t>
            </w:r>
          </w:p>
          <w:p w14:paraId="3E67EC56" w14:textId="77777777" w:rsidR="00333E4D" w:rsidRDefault="00333E4D"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333E4D" w:rsidRDefault="00333E4D" w:rsidP="00E3712D">
            <w:pPr>
              <w:pStyle w:val="Zkladntext"/>
              <w:spacing w:before="60" w:line="276" w:lineRule="auto"/>
              <w:jc w:val="center"/>
              <w:rPr>
                <w:b/>
                <w:i/>
                <w:sz w:val="20"/>
                <w:szCs w:val="20"/>
              </w:rPr>
            </w:pPr>
            <w:r>
              <w:rPr>
                <w:b/>
                <w:i/>
                <w:sz w:val="20"/>
                <w:szCs w:val="20"/>
              </w:rPr>
              <w:t>2023</w:t>
            </w:r>
          </w:p>
          <w:p w14:paraId="145434E5" w14:textId="77777777" w:rsidR="00333E4D" w:rsidRDefault="00333E4D" w:rsidP="00E3712D">
            <w:pPr>
              <w:pStyle w:val="Zkladntext"/>
              <w:spacing w:before="60" w:line="276" w:lineRule="auto"/>
              <w:jc w:val="center"/>
              <w:rPr>
                <w:b/>
                <w:i/>
                <w:sz w:val="20"/>
                <w:szCs w:val="20"/>
              </w:rPr>
            </w:pPr>
            <w:r>
              <w:rPr>
                <w:b/>
                <w:i/>
                <w:sz w:val="20"/>
                <w:szCs w:val="20"/>
              </w:rPr>
              <w:t>neplánované</w:t>
            </w:r>
          </w:p>
        </w:tc>
      </w:tr>
      <w:tr w:rsidR="00333E4D" w:rsidRPr="00602A95" w14:paraId="4F0CC0F6" w14:textId="77777777" w:rsidTr="00333E4D">
        <w:trPr>
          <w:jc w:val="center"/>
        </w:trPr>
        <w:tc>
          <w:tcPr>
            <w:tcW w:w="1124" w:type="dxa"/>
            <w:tcBorders>
              <w:top w:val="single" w:sz="12" w:space="0" w:color="auto"/>
              <w:bottom w:val="single" w:sz="4" w:space="0" w:color="auto"/>
            </w:tcBorders>
            <w:hideMark/>
          </w:tcPr>
          <w:p w14:paraId="6575B5B6" w14:textId="4C944855" w:rsidR="00333E4D" w:rsidRPr="00602A95" w:rsidRDefault="00333E4D" w:rsidP="00FB7304">
            <w:r>
              <w:t>č. 1</w:t>
            </w:r>
          </w:p>
        </w:tc>
        <w:tc>
          <w:tcPr>
            <w:tcW w:w="1394" w:type="dxa"/>
            <w:tcBorders>
              <w:top w:val="single" w:sz="12" w:space="0" w:color="auto"/>
              <w:bottom w:val="single" w:sz="4" w:space="0" w:color="auto"/>
            </w:tcBorders>
          </w:tcPr>
          <w:p w14:paraId="6FC8E1B4" w14:textId="66109FF7" w:rsidR="00333E4D" w:rsidRPr="00602A95" w:rsidRDefault="00333E4D" w:rsidP="00305CAF">
            <w:pPr>
              <w:jc w:val="center"/>
            </w:pPr>
            <w:r>
              <w:t>2xS</w:t>
            </w:r>
          </w:p>
        </w:tc>
        <w:tc>
          <w:tcPr>
            <w:tcW w:w="1701" w:type="dxa"/>
            <w:tcBorders>
              <w:top w:val="single" w:sz="12" w:space="0" w:color="auto"/>
              <w:bottom w:val="single" w:sz="4" w:space="0" w:color="auto"/>
            </w:tcBorders>
          </w:tcPr>
          <w:p w14:paraId="0887A763" w14:textId="22179A5B" w:rsidR="00333E4D" w:rsidRPr="00602A95" w:rsidRDefault="00333E4D" w:rsidP="00305CAF">
            <w:pPr>
              <w:jc w:val="center"/>
            </w:pPr>
            <w:r>
              <w:t>2xS</w:t>
            </w:r>
          </w:p>
        </w:tc>
        <w:tc>
          <w:tcPr>
            <w:tcW w:w="1559" w:type="dxa"/>
            <w:tcBorders>
              <w:top w:val="single" w:sz="12" w:space="0" w:color="auto"/>
              <w:bottom w:val="single" w:sz="4" w:space="0" w:color="auto"/>
            </w:tcBorders>
          </w:tcPr>
          <w:p w14:paraId="2C79E1F2" w14:textId="77777777" w:rsidR="00333E4D" w:rsidRPr="00602A95" w:rsidRDefault="00333E4D" w:rsidP="00305CAF">
            <w:pPr>
              <w:jc w:val="center"/>
            </w:pPr>
          </w:p>
        </w:tc>
        <w:tc>
          <w:tcPr>
            <w:tcW w:w="1559" w:type="dxa"/>
            <w:tcBorders>
              <w:top w:val="single" w:sz="12" w:space="0" w:color="auto"/>
              <w:bottom w:val="single" w:sz="4" w:space="0" w:color="auto"/>
            </w:tcBorders>
          </w:tcPr>
          <w:p w14:paraId="572D3125" w14:textId="41B088B8" w:rsidR="00333E4D" w:rsidRPr="00602A95" w:rsidRDefault="00333E4D" w:rsidP="00305CAF">
            <w:pPr>
              <w:jc w:val="center"/>
            </w:pPr>
          </w:p>
        </w:tc>
        <w:tc>
          <w:tcPr>
            <w:tcW w:w="1843" w:type="dxa"/>
            <w:tcBorders>
              <w:top w:val="single" w:sz="12" w:space="0" w:color="auto"/>
              <w:bottom w:val="single" w:sz="4" w:space="0" w:color="auto"/>
            </w:tcBorders>
          </w:tcPr>
          <w:p w14:paraId="7BC32A69" w14:textId="77777777" w:rsidR="00333E4D" w:rsidRPr="00602A95" w:rsidRDefault="00333E4D" w:rsidP="00305CAF">
            <w:pPr>
              <w:jc w:val="center"/>
            </w:pPr>
          </w:p>
        </w:tc>
        <w:tc>
          <w:tcPr>
            <w:tcW w:w="1299" w:type="dxa"/>
            <w:tcBorders>
              <w:top w:val="single" w:sz="12" w:space="0" w:color="auto"/>
              <w:bottom w:val="single" w:sz="4" w:space="0" w:color="auto"/>
            </w:tcBorders>
          </w:tcPr>
          <w:p w14:paraId="093EF369" w14:textId="77777777" w:rsidR="00333E4D" w:rsidRPr="00602A95" w:rsidRDefault="00333E4D" w:rsidP="00305CAF">
            <w:pPr>
              <w:jc w:val="center"/>
            </w:pPr>
          </w:p>
        </w:tc>
      </w:tr>
      <w:tr w:rsidR="00233FEB" w14:paraId="746D8960" w14:textId="77777777" w:rsidTr="00333E4D">
        <w:trPr>
          <w:jc w:val="center"/>
        </w:trPr>
        <w:tc>
          <w:tcPr>
            <w:tcW w:w="1124" w:type="dxa"/>
            <w:tcBorders>
              <w:top w:val="single" w:sz="4" w:space="0" w:color="auto"/>
              <w:bottom w:val="single" w:sz="4" w:space="0" w:color="auto"/>
            </w:tcBorders>
          </w:tcPr>
          <w:p w14:paraId="651C34B9" w14:textId="4EF23F44" w:rsidR="00233FEB" w:rsidRDefault="00233FEB" w:rsidP="00E3712D">
            <w:r>
              <w:t>č. 2</w:t>
            </w:r>
          </w:p>
        </w:tc>
        <w:tc>
          <w:tcPr>
            <w:tcW w:w="1394" w:type="dxa"/>
            <w:tcBorders>
              <w:top w:val="single" w:sz="4" w:space="0" w:color="auto"/>
              <w:bottom w:val="single" w:sz="4" w:space="0" w:color="auto"/>
            </w:tcBorders>
          </w:tcPr>
          <w:p w14:paraId="061F88BC" w14:textId="77777777" w:rsidR="00233FEB" w:rsidRDefault="00233FEB" w:rsidP="00305CAF">
            <w:pPr>
              <w:jc w:val="center"/>
            </w:pPr>
          </w:p>
        </w:tc>
        <w:tc>
          <w:tcPr>
            <w:tcW w:w="1701" w:type="dxa"/>
            <w:tcBorders>
              <w:top w:val="single" w:sz="4" w:space="0" w:color="auto"/>
              <w:bottom w:val="single" w:sz="4" w:space="0" w:color="auto"/>
            </w:tcBorders>
          </w:tcPr>
          <w:p w14:paraId="02CD3A84" w14:textId="77777777" w:rsidR="00233FEB" w:rsidRDefault="00233FEB" w:rsidP="00305CAF">
            <w:pPr>
              <w:jc w:val="center"/>
            </w:pPr>
          </w:p>
        </w:tc>
        <w:tc>
          <w:tcPr>
            <w:tcW w:w="1559" w:type="dxa"/>
            <w:tcBorders>
              <w:top w:val="single" w:sz="4" w:space="0" w:color="auto"/>
              <w:bottom w:val="single" w:sz="4" w:space="0" w:color="auto"/>
            </w:tcBorders>
          </w:tcPr>
          <w:p w14:paraId="164A7F7F" w14:textId="346824BA" w:rsidR="00233FEB" w:rsidRDefault="00233FEB" w:rsidP="00305CAF">
            <w:pPr>
              <w:jc w:val="center"/>
            </w:pPr>
            <w:r>
              <w:t>1xEkrit</w:t>
            </w:r>
          </w:p>
        </w:tc>
        <w:tc>
          <w:tcPr>
            <w:tcW w:w="1559" w:type="dxa"/>
            <w:tcBorders>
              <w:top w:val="single" w:sz="4" w:space="0" w:color="auto"/>
              <w:bottom w:val="single" w:sz="4" w:space="0" w:color="auto"/>
            </w:tcBorders>
          </w:tcPr>
          <w:p w14:paraId="4309DEB1" w14:textId="77777777" w:rsidR="00233FEB" w:rsidRDefault="00233FEB" w:rsidP="00305CAF">
            <w:pPr>
              <w:jc w:val="center"/>
            </w:pPr>
          </w:p>
        </w:tc>
        <w:tc>
          <w:tcPr>
            <w:tcW w:w="1843" w:type="dxa"/>
            <w:tcBorders>
              <w:top w:val="single" w:sz="4" w:space="0" w:color="auto"/>
              <w:bottom w:val="single" w:sz="4" w:space="0" w:color="auto"/>
            </w:tcBorders>
          </w:tcPr>
          <w:p w14:paraId="6CB0F594" w14:textId="77777777" w:rsidR="00233FEB" w:rsidRDefault="00233FEB" w:rsidP="00305CAF">
            <w:pPr>
              <w:jc w:val="center"/>
            </w:pPr>
          </w:p>
        </w:tc>
        <w:tc>
          <w:tcPr>
            <w:tcW w:w="1299" w:type="dxa"/>
            <w:tcBorders>
              <w:top w:val="single" w:sz="4" w:space="0" w:color="auto"/>
              <w:bottom w:val="single" w:sz="4" w:space="0" w:color="auto"/>
            </w:tcBorders>
          </w:tcPr>
          <w:p w14:paraId="5BCA2154" w14:textId="77777777" w:rsidR="00233FEB" w:rsidRDefault="00233FEB" w:rsidP="00305CAF">
            <w:pPr>
              <w:jc w:val="center"/>
            </w:pPr>
          </w:p>
        </w:tc>
      </w:tr>
      <w:tr w:rsidR="00333E4D" w14:paraId="7F4970D5" w14:textId="77777777" w:rsidTr="00333E4D">
        <w:trPr>
          <w:jc w:val="center"/>
        </w:trPr>
        <w:tc>
          <w:tcPr>
            <w:tcW w:w="1124" w:type="dxa"/>
            <w:tcBorders>
              <w:top w:val="single" w:sz="4" w:space="0" w:color="auto"/>
              <w:bottom w:val="single" w:sz="4" w:space="0" w:color="auto"/>
            </w:tcBorders>
          </w:tcPr>
          <w:p w14:paraId="37537196" w14:textId="58D57AE2" w:rsidR="00333E4D" w:rsidRDefault="00333E4D" w:rsidP="00E3712D">
            <w:r>
              <w:t>č. 3</w:t>
            </w:r>
          </w:p>
        </w:tc>
        <w:tc>
          <w:tcPr>
            <w:tcW w:w="1394" w:type="dxa"/>
            <w:tcBorders>
              <w:top w:val="single" w:sz="4" w:space="0" w:color="auto"/>
              <w:bottom w:val="single" w:sz="4" w:space="0" w:color="auto"/>
            </w:tcBorders>
          </w:tcPr>
          <w:p w14:paraId="173967A1" w14:textId="44560BDA" w:rsidR="00333E4D" w:rsidRDefault="00333E4D" w:rsidP="00305CAF">
            <w:pPr>
              <w:jc w:val="center"/>
            </w:pPr>
            <w:r>
              <w:t>1xS, 1xEkrit</w:t>
            </w:r>
          </w:p>
        </w:tc>
        <w:tc>
          <w:tcPr>
            <w:tcW w:w="1701" w:type="dxa"/>
            <w:tcBorders>
              <w:top w:val="single" w:sz="4" w:space="0" w:color="auto"/>
              <w:bottom w:val="single" w:sz="4" w:space="0" w:color="auto"/>
            </w:tcBorders>
          </w:tcPr>
          <w:p w14:paraId="104940B1" w14:textId="5A4B98E3" w:rsidR="00333E4D" w:rsidRDefault="00333E4D" w:rsidP="00305CAF">
            <w:pPr>
              <w:jc w:val="center"/>
            </w:pPr>
            <w:r>
              <w:t>1xS, 1xEkrit</w:t>
            </w:r>
          </w:p>
        </w:tc>
        <w:tc>
          <w:tcPr>
            <w:tcW w:w="1559" w:type="dxa"/>
            <w:tcBorders>
              <w:top w:val="single" w:sz="4" w:space="0" w:color="auto"/>
              <w:bottom w:val="single" w:sz="4" w:space="0" w:color="auto"/>
            </w:tcBorders>
          </w:tcPr>
          <w:p w14:paraId="0BC1F3ED" w14:textId="77777777" w:rsidR="00333E4D" w:rsidRDefault="00333E4D" w:rsidP="00305CAF">
            <w:pPr>
              <w:jc w:val="center"/>
            </w:pPr>
          </w:p>
        </w:tc>
        <w:tc>
          <w:tcPr>
            <w:tcW w:w="1559" w:type="dxa"/>
            <w:tcBorders>
              <w:top w:val="single" w:sz="4" w:space="0" w:color="auto"/>
              <w:bottom w:val="single" w:sz="4" w:space="0" w:color="auto"/>
            </w:tcBorders>
          </w:tcPr>
          <w:p w14:paraId="6543786D" w14:textId="5ADDD85B" w:rsidR="00333E4D" w:rsidRDefault="00333E4D" w:rsidP="00305CAF">
            <w:pPr>
              <w:jc w:val="center"/>
            </w:pPr>
          </w:p>
        </w:tc>
        <w:tc>
          <w:tcPr>
            <w:tcW w:w="1843" w:type="dxa"/>
            <w:tcBorders>
              <w:top w:val="single" w:sz="4" w:space="0" w:color="auto"/>
              <w:bottom w:val="single" w:sz="4" w:space="0" w:color="auto"/>
            </w:tcBorders>
          </w:tcPr>
          <w:p w14:paraId="686FDB4A" w14:textId="77777777" w:rsidR="00333E4D" w:rsidRDefault="00333E4D" w:rsidP="00305CAF">
            <w:pPr>
              <w:jc w:val="center"/>
            </w:pPr>
          </w:p>
        </w:tc>
        <w:tc>
          <w:tcPr>
            <w:tcW w:w="1299" w:type="dxa"/>
            <w:tcBorders>
              <w:top w:val="single" w:sz="4" w:space="0" w:color="auto"/>
              <w:bottom w:val="single" w:sz="4" w:space="0" w:color="auto"/>
            </w:tcBorders>
          </w:tcPr>
          <w:p w14:paraId="263CA317" w14:textId="77777777" w:rsidR="00333E4D" w:rsidRDefault="00333E4D" w:rsidP="00305CAF">
            <w:pPr>
              <w:jc w:val="center"/>
            </w:pPr>
          </w:p>
        </w:tc>
      </w:tr>
      <w:tr w:rsidR="00333E4D" w14:paraId="154A6940" w14:textId="77777777" w:rsidTr="00333E4D">
        <w:trPr>
          <w:jc w:val="center"/>
        </w:trPr>
        <w:tc>
          <w:tcPr>
            <w:tcW w:w="1124" w:type="dxa"/>
            <w:tcBorders>
              <w:top w:val="single" w:sz="4" w:space="0" w:color="auto"/>
              <w:bottom w:val="single" w:sz="4" w:space="0" w:color="auto"/>
            </w:tcBorders>
          </w:tcPr>
          <w:p w14:paraId="01E29323" w14:textId="1E887720" w:rsidR="00333E4D" w:rsidRDefault="00333E4D" w:rsidP="00305CAF">
            <w:r>
              <w:t>č. 4</w:t>
            </w:r>
          </w:p>
        </w:tc>
        <w:tc>
          <w:tcPr>
            <w:tcW w:w="1394" w:type="dxa"/>
            <w:tcBorders>
              <w:top w:val="single" w:sz="4" w:space="0" w:color="auto"/>
              <w:bottom w:val="single" w:sz="4" w:space="0" w:color="auto"/>
            </w:tcBorders>
          </w:tcPr>
          <w:p w14:paraId="6C334F13" w14:textId="0BA65FB7" w:rsidR="00333E4D" w:rsidRDefault="00333E4D" w:rsidP="00305CAF">
            <w:pPr>
              <w:jc w:val="center"/>
            </w:pPr>
            <w:r>
              <w:t>1xS</w:t>
            </w:r>
          </w:p>
        </w:tc>
        <w:tc>
          <w:tcPr>
            <w:tcW w:w="1701" w:type="dxa"/>
            <w:tcBorders>
              <w:top w:val="single" w:sz="4" w:space="0" w:color="auto"/>
              <w:bottom w:val="single" w:sz="4" w:space="0" w:color="auto"/>
            </w:tcBorders>
          </w:tcPr>
          <w:p w14:paraId="076D6FF0" w14:textId="46989465" w:rsidR="00333E4D" w:rsidRDefault="00333E4D" w:rsidP="00305CAF">
            <w:pPr>
              <w:jc w:val="center"/>
            </w:pPr>
            <w:r>
              <w:t>1xS</w:t>
            </w:r>
          </w:p>
        </w:tc>
        <w:tc>
          <w:tcPr>
            <w:tcW w:w="1559" w:type="dxa"/>
            <w:tcBorders>
              <w:top w:val="single" w:sz="4" w:space="0" w:color="auto"/>
              <w:bottom w:val="single" w:sz="4" w:space="0" w:color="auto"/>
            </w:tcBorders>
          </w:tcPr>
          <w:p w14:paraId="5EF242E1" w14:textId="77777777" w:rsidR="00333E4D" w:rsidRDefault="00333E4D" w:rsidP="00305CAF">
            <w:pPr>
              <w:jc w:val="center"/>
            </w:pPr>
          </w:p>
        </w:tc>
        <w:tc>
          <w:tcPr>
            <w:tcW w:w="1559" w:type="dxa"/>
            <w:tcBorders>
              <w:top w:val="single" w:sz="4" w:space="0" w:color="auto"/>
              <w:bottom w:val="single" w:sz="4" w:space="0" w:color="auto"/>
            </w:tcBorders>
          </w:tcPr>
          <w:p w14:paraId="0C6C011D" w14:textId="2AB78EE9" w:rsidR="00333E4D" w:rsidRDefault="00333E4D" w:rsidP="00305CAF">
            <w:pPr>
              <w:jc w:val="center"/>
            </w:pPr>
          </w:p>
        </w:tc>
        <w:tc>
          <w:tcPr>
            <w:tcW w:w="1843" w:type="dxa"/>
            <w:tcBorders>
              <w:top w:val="single" w:sz="4" w:space="0" w:color="auto"/>
              <w:bottom w:val="single" w:sz="4" w:space="0" w:color="auto"/>
            </w:tcBorders>
          </w:tcPr>
          <w:p w14:paraId="26736E7C" w14:textId="77777777" w:rsidR="00333E4D" w:rsidRDefault="00333E4D" w:rsidP="00305CAF">
            <w:pPr>
              <w:jc w:val="center"/>
            </w:pPr>
          </w:p>
        </w:tc>
        <w:tc>
          <w:tcPr>
            <w:tcW w:w="1299" w:type="dxa"/>
            <w:tcBorders>
              <w:top w:val="single" w:sz="4" w:space="0" w:color="auto"/>
              <w:bottom w:val="single" w:sz="4" w:space="0" w:color="auto"/>
            </w:tcBorders>
          </w:tcPr>
          <w:p w14:paraId="35624052" w14:textId="77777777" w:rsidR="00333E4D" w:rsidRDefault="00333E4D" w:rsidP="00305CAF">
            <w:pPr>
              <w:jc w:val="center"/>
            </w:pPr>
          </w:p>
        </w:tc>
      </w:tr>
      <w:tr w:rsidR="00233FEB" w14:paraId="74E59CA9" w14:textId="77777777" w:rsidTr="00333E4D">
        <w:trPr>
          <w:jc w:val="center"/>
        </w:trPr>
        <w:tc>
          <w:tcPr>
            <w:tcW w:w="1124" w:type="dxa"/>
            <w:tcBorders>
              <w:top w:val="single" w:sz="4" w:space="0" w:color="auto"/>
              <w:bottom w:val="single" w:sz="4" w:space="0" w:color="auto"/>
            </w:tcBorders>
          </w:tcPr>
          <w:p w14:paraId="2C6E6E95" w14:textId="67D00097" w:rsidR="00233FEB" w:rsidRDefault="00233FEB" w:rsidP="00305CAF">
            <w:r>
              <w:t>č. 5</w:t>
            </w:r>
          </w:p>
        </w:tc>
        <w:tc>
          <w:tcPr>
            <w:tcW w:w="1394" w:type="dxa"/>
            <w:tcBorders>
              <w:top w:val="single" w:sz="4" w:space="0" w:color="auto"/>
              <w:bottom w:val="single" w:sz="4" w:space="0" w:color="auto"/>
            </w:tcBorders>
          </w:tcPr>
          <w:p w14:paraId="23950D44" w14:textId="77777777" w:rsidR="00233FEB" w:rsidRDefault="00233FEB" w:rsidP="00305CAF">
            <w:pPr>
              <w:jc w:val="center"/>
            </w:pPr>
          </w:p>
        </w:tc>
        <w:tc>
          <w:tcPr>
            <w:tcW w:w="1701" w:type="dxa"/>
            <w:tcBorders>
              <w:top w:val="single" w:sz="4" w:space="0" w:color="auto"/>
              <w:bottom w:val="single" w:sz="4" w:space="0" w:color="auto"/>
            </w:tcBorders>
          </w:tcPr>
          <w:p w14:paraId="282AB9F4" w14:textId="77777777" w:rsidR="00233FEB" w:rsidRDefault="00233FEB" w:rsidP="00305CAF">
            <w:pPr>
              <w:jc w:val="center"/>
            </w:pPr>
          </w:p>
        </w:tc>
        <w:tc>
          <w:tcPr>
            <w:tcW w:w="1559" w:type="dxa"/>
            <w:tcBorders>
              <w:top w:val="single" w:sz="4" w:space="0" w:color="auto"/>
              <w:bottom w:val="single" w:sz="4" w:space="0" w:color="auto"/>
            </w:tcBorders>
          </w:tcPr>
          <w:p w14:paraId="0A2C8DBA" w14:textId="77777777" w:rsidR="00233FEB" w:rsidRDefault="00233FEB" w:rsidP="00305CAF">
            <w:pPr>
              <w:jc w:val="center"/>
            </w:pPr>
          </w:p>
        </w:tc>
        <w:tc>
          <w:tcPr>
            <w:tcW w:w="1559" w:type="dxa"/>
            <w:tcBorders>
              <w:top w:val="single" w:sz="4" w:space="0" w:color="auto"/>
              <w:bottom w:val="single" w:sz="4" w:space="0" w:color="auto"/>
            </w:tcBorders>
          </w:tcPr>
          <w:p w14:paraId="6A45C201" w14:textId="77777777" w:rsidR="00233FEB" w:rsidRDefault="00233FEB" w:rsidP="00305CAF">
            <w:pPr>
              <w:jc w:val="center"/>
            </w:pPr>
          </w:p>
        </w:tc>
        <w:tc>
          <w:tcPr>
            <w:tcW w:w="1843" w:type="dxa"/>
            <w:tcBorders>
              <w:top w:val="single" w:sz="4" w:space="0" w:color="auto"/>
              <w:bottom w:val="single" w:sz="4" w:space="0" w:color="auto"/>
            </w:tcBorders>
          </w:tcPr>
          <w:p w14:paraId="11308B5D" w14:textId="77777777" w:rsidR="00233FEB" w:rsidRDefault="00233FEB" w:rsidP="00305CAF">
            <w:pPr>
              <w:jc w:val="center"/>
            </w:pPr>
          </w:p>
        </w:tc>
        <w:tc>
          <w:tcPr>
            <w:tcW w:w="1299" w:type="dxa"/>
            <w:tcBorders>
              <w:top w:val="single" w:sz="4" w:space="0" w:color="auto"/>
              <w:bottom w:val="single" w:sz="4" w:space="0" w:color="auto"/>
            </w:tcBorders>
          </w:tcPr>
          <w:p w14:paraId="0E5F30F3" w14:textId="77777777" w:rsidR="00233FEB" w:rsidRDefault="00233FEB" w:rsidP="00305CAF">
            <w:pPr>
              <w:jc w:val="center"/>
            </w:pPr>
          </w:p>
        </w:tc>
      </w:tr>
      <w:tr w:rsidR="00333E4D" w14:paraId="5FED6BAE" w14:textId="77777777" w:rsidTr="00333E4D">
        <w:trPr>
          <w:jc w:val="center"/>
        </w:trPr>
        <w:tc>
          <w:tcPr>
            <w:tcW w:w="1124" w:type="dxa"/>
            <w:tcBorders>
              <w:top w:val="single" w:sz="4" w:space="0" w:color="auto"/>
              <w:bottom w:val="single" w:sz="4" w:space="0" w:color="auto"/>
            </w:tcBorders>
          </w:tcPr>
          <w:p w14:paraId="2A359983" w14:textId="0B742AF4" w:rsidR="00333E4D" w:rsidRDefault="00333E4D" w:rsidP="00305CAF">
            <w:r>
              <w:t>č. 6</w:t>
            </w:r>
          </w:p>
        </w:tc>
        <w:tc>
          <w:tcPr>
            <w:tcW w:w="1394" w:type="dxa"/>
            <w:tcBorders>
              <w:top w:val="single" w:sz="4" w:space="0" w:color="auto"/>
              <w:bottom w:val="single" w:sz="4" w:space="0" w:color="auto"/>
            </w:tcBorders>
          </w:tcPr>
          <w:p w14:paraId="654F0138" w14:textId="6BD695CF" w:rsidR="00333E4D" w:rsidRDefault="00333E4D" w:rsidP="00305CAF">
            <w:pPr>
              <w:jc w:val="center"/>
            </w:pPr>
            <w:r>
              <w:t>1xS</w:t>
            </w:r>
          </w:p>
        </w:tc>
        <w:tc>
          <w:tcPr>
            <w:tcW w:w="1701" w:type="dxa"/>
            <w:tcBorders>
              <w:top w:val="single" w:sz="4" w:space="0" w:color="auto"/>
              <w:bottom w:val="single" w:sz="4" w:space="0" w:color="auto"/>
            </w:tcBorders>
          </w:tcPr>
          <w:p w14:paraId="22EEA646" w14:textId="223E0A28" w:rsidR="00333E4D" w:rsidRDefault="00333E4D" w:rsidP="00305CAF">
            <w:pPr>
              <w:jc w:val="center"/>
            </w:pPr>
            <w:r>
              <w:t>1xS</w:t>
            </w:r>
          </w:p>
        </w:tc>
        <w:tc>
          <w:tcPr>
            <w:tcW w:w="1559" w:type="dxa"/>
            <w:tcBorders>
              <w:top w:val="single" w:sz="4" w:space="0" w:color="auto"/>
              <w:bottom w:val="single" w:sz="4" w:space="0" w:color="auto"/>
            </w:tcBorders>
          </w:tcPr>
          <w:p w14:paraId="0CCAD8AE" w14:textId="77777777" w:rsidR="00333E4D" w:rsidRDefault="00333E4D" w:rsidP="00305CAF">
            <w:pPr>
              <w:jc w:val="center"/>
            </w:pPr>
          </w:p>
        </w:tc>
        <w:tc>
          <w:tcPr>
            <w:tcW w:w="1559" w:type="dxa"/>
            <w:tcBorders>
              <w:top w:val="single" w:sz="4" w:space="0" w:color="auto"/>
              <w:bottom w:val="single" w:sz="4" w:space="0" w:color="auto"/>
            </w:tcBorders>
          </w:tcPr>
          <w:p w14:paraId="386D989B" w14:textId="0EFCA176" w:rsidR="00333E4D" w:rsidRDefault="00333E4D" w:rsidP="00305CAF">
            <w:pPr>
              <w:jc w:val="center"/>
            </w:pPr>
          </w:p>
        </w:tc>
        <w:tc>
          <w:tcPr>
            <w:tcW w:w="1843" w:type="dxa"/>
            <w:tcBorders>
              <w:top w:val="single" w:sz="4" w:space="0" w:color="auto"/>
              <w:bottom w:val="single" w:sz="4" w:space="0" w:color="auto"/>
            </w:tcBorders>
          </w:tcPr>
          <w:p w14:paraId="5F844F98" w14:textId="77777777" w:rsidR="00333E4D" w:rsidRDefault="00333E4D" w:rsidP="00305CAF">
            <w:pPr>
              <w:jc w:val="center"/>
            </w:pPr>
          </w:p>
        </w:tc>
        <w:tc>
          <w:tcPr>
            <w:tcW w:w="1299" w:type="dxa"/>
            <w:tcBorders>
              <w:top w:val="single" w:sz="4" w:space="0" w:color="auto"/>
              <w:bottom w:val="single" w:sz="4" w:space="0" w:color="auto"/>
            </w:tcBorders>
          </w:tcPr>
          <w:p w14:paraId="71EE5986" w14:textId="77777777" w:rsidR="00333E4D" w:rsidRDefault="00333E4D" w:rsidP="00305CAF">
            <w:pPr>
              <w:jc w:val="center"/>
            </w:pPr>
          </w:p>
        </w:tc>
      </w:tr>
      <w:tr w:rsidR="00333E4D" w14:paraId="4BE67D00" w14:textId="77777777" w:rsidTr="00333E4D">
        <w:trPr>
          <w:jc w:val="center"/>
        </w:trPr>
        <w:tc>
          <w:tcPr>
            <w:tcW w:w="1124" w:type="dxa"/>
            <w:tcBorders>
              <w:top w:val="single" w:sz="4" w:space="0" w:color="auto"/>
              <w:bottom w:val="single" w:sz="4" w:space="0" w:color="auto"/>
            </w:tcBorders>
          </w:tcPr>
          <w:p w14:paraId="5A393D91" w14:textId="75770C27" w:rsidR="00333E4D" w:rsidRDefault="00333E4D" w:rsidP="00305CAF">
            <w:r>
              <w:t>č. 7</w:t>
            </w:r>
          </w:p>
        </w:tc>
        <w:tc>
          <w:tcPr>
            <w:tcW w:w="1394" w:type="dxa"/>
            <w:tcBorders>
              <w:top w:val="single" w:sz="4" w:space="0" w:color="auto"/>
              <w:bottom w:val="single" w:sz="4" w:space="0" w:color="auto"/>
            </w:tcBorders>
          </w:tcPr>
          <w:p w14:paraId="60FBDA83" w14:textId="75308F6C" w:rsidR="00333E4D" w:rsidRDefault="00333E4D" w:rsidP="00305CAF">
            <w:pPr>
              <w:jc w:val="center"/>
            </w:pPr>
            <w:r>
              <w:t>1xS</w:t>
            </w:r>
          </w:p>
        </w:tc>
        <w:tc>
          <w:tcPr>
            <w:tcW w:w="1701" w:type="dxa"/>
            <w:tcBorders>
              <w:top w:val="single" w:sz="4" w:space="0" w:color="auto"/>
              <w:bottom w:val="single" w:sz="4" w:space="0" w:color="auto"/>
            </w:tcBorders>
          </w:tcPr>
          <w:p w14:paraId="38FAB094" w14:textId="62FB05AA" w:rsidR="00333E4D" w:rsidRDefault="00333E4D" w:rsidP="00305CAF">
            <w:pPr>
              <w:jc w:val="center"/>
            </w:pPr>
            <w:r>
              <w:t>1xS</w:t>
            </w:r>
          </w:p>
        </w:tc>
        <w:tc>
          <w:tcPr>
            <w:tcW w:w="1559" w:type="dxa"/>
            <w:tcBorders>
              <w:top w:val="single" w:sz="4" w:space="0" w:color="auto"/>
              <w:bottom w:val="single" w:sz="4" w:space="0" w:color="auto"/>
            </w:tcBorders>
          </w:tcPr>
          <w:p w14:paraId="2C2F10B3" w14:textId="77777777" w:rsidR="00333E4D" w:rsidRDefault="00333E4D" w:rsidP="00305CAF">
            <w:pPr>
              <w:jc w:val="center"/>
            </w:pPr>
          </w:p>
        </w:tc>
        <w:tc>
          <w:tcPr>
            <w:tcW w:w="1559" w:type="dxa"/>
            <w:tcBorders>
              <w:top w:val="single" w:sz="4" w:space="0" w:color="auto"/>
              <w:bottom w:val="single" w:sz="4" w:space="0" w:color="auto"/>
            </w:tcBorders>
          </w:tcPr>
          <w:p w14:paraId="0454E134" w14:textId="5CE73026" w:rsidR="00333E4D" w:rsidRDefault="00333E4D" w:rsidP="00305CAF">
            <w:pPr>
              <w:jc w:val="center"/>
            </w:pPr>
          </w:p>
        </w:tc>
        <w:tc>
          <w:tcPr>
            <w:tcW w:w="1843" w:type="dxa"/>
            <w:tcBorders>
              <w:top w:val="single" w:sz="4" w:space="0" w:color="auto"/>
              <w:bottom w:val="single" w:sz="4" w:space="0" w:color="auto"/>
            </w:tcBorders>
          </w:tcPr>
          <w:p w14:paraId="47504DA6" w14:textId="77777777" w:rsidR="00333E4D" w:rsidRDefault="00333E4D" w:rsidP="00305CAF">
            <w:pPr>
              <w:jc w:val="center"/>
            </w:pPr>
          </w:p>
        </w:tc>
        <w:tc>
          <w:tcPr>
            <w:tcW w:w="1299" w:type="dxa"/>
            <w:tcBorders>
              <w:top w:val="single" w:sz="4" w:space="0" w:color="auto"/>
              <w:bottom w:val="single" w:sz="4" w:space="0" w:color="auto"/>
            </w:tcBorders>
          </w:tcPr>
          <w:p w14:paraId="6EBFB743" w14:textId="77777777" w:rsidR="00333E4D" w:rsidRDefault="00333E4D" w:rsidP="00305CAF">
            <w:pPr>
              <w:jc w:val="center"/>
            </w:pPr>
          </w:p>
        </w:tc>
      </w:tr>
      <w:tr w:rsidR="0007150B" w14:paraId="39089DF4" w14:textId="77777777" w:rsidTr="00333E4D">
        <w:trPr>
          <w:jc w:val="center"/>
        </w:trPr>
        <w:tc>
          <w:tcPr>
            <w:tcW w:w="1124" w:type="dxa"/>
            <w:tcBorders>
              <w:top w:val="single" w:sz="4" w:space="0" w:color="auto"/>
              <w:bottom w:val="single" w:sz="4" w:space="0" w:color="auto"/>
            </w:tcBorders>
          </w:tcPr>
          <w:p w14:paraId="5BB6842C" w14:textId="55D54578" w:rsidR="0007150B" w:rsidRDefault="0007150B" w:rsidP="00305CAF">
            <w:r>
              <w:t xml:space="preserve">č. </w:t>
            </w:r>
            <w:r w:rsidR="00C52405">
              <w:t>8</w:t>
            </w:r>
          </w:p>
        </w:tc>
        <w:tc>
          <w:tcPr>
            <w:tcW w:w="1394" w:type="dxa"/>
            <w:tcBorders>
              <w:top w:val="single" w:sz="4" w:space="0" w:color="auto"/>
              <w:bottom w:val="single" w:sz="4" w:space="0" w:color="auto"/>
            </w:tcBorders>
          </w:tcPr>
          <w:p w14:paraId="03F97F3A" w14:textId="77777777" w:rsidR="0007150B" w:rsidRDefault="0007150B" w:rsidP="00305CAF">
            <w:pPr>
              <w:jc w:val="center"/>
            </w:pPr>
          </w:p>
        </w:tc>
        <w:tc>
          <w:tcPr>
            <w:tcW w:w="1701" w:type="dxa"/>
            <w:tcBorders>
              <w:top w:val="single" w:sz="4" w:space="0" w:color="auto"/>
              <w:bottom w:val="single" w:sz="4" w:space="0" w:color="auto"/>
            </w:tcBorders>
          </w:tcPr>
          <w:p w14:paraId="1592957C" w14:textId="77777777" w:rsidR="0007150B" w:rsidRDefault="0007150B" w:rsidP="00305CAF">
            <w:pPr>
              <w:jc w:val="center"/>
            </w:pPr>
          </w:p>
        </w:tc>
        <w:tc>
          <w:tcPr>
            <w:tcW w:w="1559" w:type="dxa"/>
            <w:tcBorders>
              <w:top w:val="single" w:sz="4" w:space="0" w:color="auto"/>
              <w:bottom w:val="single" w:sz="4" w:space="0" w:color="auto"/>
            </w:tcBorders>
          </w:tcPr>
          <w:p w14:paraId="337D7F7A" w14:textId="77777777" w:rsidR="0007150B" w:rsidRDefault="0007150B" w:rsidP="00305CAF">
            <w:pPr>
              <w:jc w:val="center"/>
            </w:pPr>
          </w:p>
        </w:tc>
        <w:tc>
          <w:tcPr>
            <w:tcW w:w="1559" w:type="dxa"/>
            <w:tcBorders>
              <w:top w:val="single" w:sz="4" w:space="0" w:color="auto"/>
              <w:bottom w:val="single" w:sz="4" w:space="0" w:color="auto"/>
            </w:tcBorders>
          </w:tcPr>
          <w:p w14:paraId="70904575" w14:textId="77777777" w:rsidR="0007150B" w:rsidRDefault="0007150B" w:rsidP="00305CAF">
            <w:pPr>
              <w:jc w:val="center"/>
            </w:pPr>
          </w:p>
        </w:tc>
        <w:tc>
          <w:tcPr>
            <w:tcW w:w="1843" w:type="dxa"/>
            <w:tcBorders>
              <w:top w:val="single" w:sz="4" w:space="0" w:color="auto"/>
              <w:bottom w:val="single" w:sz="4" w:space="0" w:color="auto"/>
            </w:tcBorders>
          </w:tcPr>
          <w:p w14:paraId="69C5870C" w14:textId="77777777" w:rsidR="0007150B" w:rsidRDefault="0007150B" w:rsidP="00305CAF">
            <w:pPr>
              <w:jc w:val="center"/>
            </w:pPr>
          </w:p>
        </w:tc>
        <w:tc>
          <w:tcPr>
            <w:tcW w:w="1299" w:type="dxa"/>
            <w:tcBorders>
              <w:top w:val="single" w:sz="4" w:space="0" w:color="auto"/>
              <w:bottom w:val="single" w:sz="4" w:space="0" w:color="auto"/>
            </w:tcBorders>
          </w:tcPr>
          <w:p w14:paraId="59DAC6C7" w14:textId="77777777" w:rsidR="0007150B" w:rsidRDefault="0007150B" w:rsidP="00305CAF">
            <w:pPr>
              <w:jc w:val="center"/>
            </w:pPr>
          </w:p>
        </w:tc>
      </w:tr>
      <w:tr w:rsidR="00333E4D" w:rsidRPr="00B22CE2" w14:paraId="07DA2342" w14:textId="77777777" w:rsidTr="00333E4D">
        <w:trPr>
          <w:jc w:val="center"/>
        </w:trPr>
        <w:tc>
          <w:tcPr>
            <w:tcW w:w="1124" w:type="dxa"/>
            <w:tcBorders>
              <w:top w:val="single" w:sz="12" w:space="0" w:color="auto"/>
              <w:bottom w:val="single" w:sz="12" w:space="0" w:color="auto"/>
            </w:tcBorders>
          </w:tcPr>
          <w:p w14:paraId="3F7AA685" w14:textId="77777777" w:rsidR="00333E4D" w:rsidRPr="00B22CE2" w:rsidRDefault="00333E4D" w:rsidP="00D44650">
            <w:pPr>
              <w:rPr>
                <w:b/>
              </w:rPr>
            </w:pPr>
            <w:r w:rsidRPr="00B22CE2">
              <w:rPr>
                <w:b/>
              </w:rPr>
              <w:t>Celkem</w:t>
            </w:r>
          </w:p>
        </w:tc>
        <w:tc>
          <w:tcPr>
            <w:tcW w:w="1394" w:type="dxa"/>
            <w:tcBorders>
              <w:top w:val="single" w:sz="12" w:space="0" w:color="auto"/>
              <w:bottom w:val="single" w:sz="12" w:space="0" w:color="auto"/>
            </w:tcBorders>
          </w:tcPr>
          <w:p w14:paraId="5F5321FE" w14:textId="28827E01" w:rsidR="00333E4D" w:rsidRPr="00B22CE2" w:rsidRDefault="00333E4D" w:rsidP="00305CAF">
            <w:pPr>
              <w:jc w:val="center"/>
              <w:rPr>
                <w:b/>
              </w:rPr>
            </w:pPr>
            <w:r>
              <w:rPr>
                <w:b/>
              </w:rPr>
              <w:t>6xS, 1xEkrit</w:t>
            </w:r>
          </w:p>
        </w:tc>
        <w:tc>
          <w:tcPr>
            <w:tcW w:w="1701" w:type="dxa"/>
            <w:tcBorders>
              <w:top w:val="single" w:sz="12" w:space="0" w:color="auto"/>
              <w:bottom w:val="single" w:sz="12" w:space="0" w:color="auto"/>
            </w:tcBorders>
          </w:tcPr>
          <w:p w14:paraId="134BF9C6" w14:textId="6E750421" w:rsidR="00333E4D" w:rsidRPr="00B22CE2" w:rsidRDefault="00333E4D" w:rsidP="00305CAF">
            <w:pPr>
              <w:jc w:val="center"/>
              <w:rPr>
                <w:b/>
              </w:rPr>
            </w:pPr>
            <w:r>
              <w:rPr>
                <w:b/>
              </w:rPr>
              <w:t>6xS, 1xEkrit</w:t>
            </w:r>
          </w:p>
        </w:tc>
        <w:tc>
          <w:tcPr>
            <w:tcW w:w="1559" w:type="dxa"/>
            <w:tcBorders>
              <w:top w:val="single" w:sz="12" w:space="0" w:color="auto"/>
              <w:bottom w:val="single" w:sz="12" w:space="0" w:color="auto"/>
            </w:tcBorders>
          </w:tcPr>
          <w:p w14:paraId="3AE62DB4" w14:textId="0DD1234A" w:rsidR="00333E4D" w:rsidRPr="00B22CE2" w:rsidRDefault="00C52405" w:rsidP="00305CAF">
            <w:pPr>
              <w:jc w:val="center"/>
              <w:rPr>
                <w:b/>
              </w:rPr>
            </w:pPr>
            <w:r>
              <w:rPr>
                <w:b/>
              </w:rPr>
              <w:t>1xEkrit</w:t>
            </w:r>
          </w:p>
        </w:tc>
        <w:tc>
          <w:tcPr>
            <w:tcW w:w="1559" w:type="dxa"/>
            <w:tcBorders>
              <w:top w:val="single" w:sz="12" w:space="0" w:color="auto"/>
              <w:bottom w:val="single" w:sz="12" w:space="0" w:color="auto"/>
            </w:tcBorders>
          </w:tcPr>
          <w:p w14:paraId="64B9D501" w14:textId="24A07646" w:rsidR="00333E4D" w:rsidRPr="00B22CE2" w:rsidRDefault="00333E4D" w:rsidP="00305CAF">
            <w:pPr>
              <w:jc w:val="center"/>
              <w:rPr>
                <w:b/>
              </w:rPr>
            </w:pPr>
          </w:p>
        </w:tc>
        <w:tc>
          <w:tcPr>
            <w:tcW w:w="1843" w:type="dxa"/>
            <w:tcBorders>
              <w:top w:val="single" w:sz="12" w:space="0" w:color="auto"/>
              <w:bottom w:val="single" w:sz="12" w:space="0" w:color="auto"/>
            </w:tcBorders>
          </w:tcPr>
          <w:p w14:paraId="482D6A6B" w14:textId="77777777" w:rsidR="00333E4D" w:rsidRPr="00B22CE2" w:rsidRDefault="00333E4D" w:rsidP="00305CAF">
            <w:pPr>
              <w:jc w:val="center"/>
              <w:rPr>
                <w:b/>
              </w:rPr>
            </w:pPr>
          </w:p>
        </w:tc>
        <w:tc>
          <w:tcPr>
            <w:tcW w:w="1299" w:type="dxa"/>
            <w:tcBorders>
              <w:top w:val="single" w:sz="12" w:space="0" w:color="auto"/>
              <w:bottom w:val="single" w:sz="12" w:space="0" w:color="auto"/>
            </w:tcBorders>
          </w:tcPr>
          <w:p w14:paraId="115869A9" w14:textId="77777777" w:rsidR="00333E4D" w:rsidRPr="00B22CE2" w:rsidRDefault="00333E4D" w:rsidP="00305CAF">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lastRenderedPageBreak/>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2522956D" w:rsidR="005621E4" w:rsidRPr="005A2287" w:rsidRDefault="007E286F" w:rsidP="005A2287">
      <w:pPr>
        <w:spacing w:before="60" w:line="276" w:lineRule="auto"/>
        <w:ind w:left="425" w:firstLine="1"/>
        <w:jc w:val="both"/>
        <w:rPr>
          <w:sz w:val="24"/>
          <w:szCs w:val="24"/>
        </w:rPr>
      </w:pPr>
      <w:r>
        <w:rPr>
          <w:sz w:val="24"/>
          <w:szCs w:val="24"/>
        </w:rPr>
        <w:t>Žádné nebyly.</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3A0659DE" w14:textId="7B213850" w:rsidR="00926E1B" w:rsidRPr="006F37E7" w:rsidRDefault="007E286F" w:rsidP="007A23BB">
            <w:pPr>
              <w:pStyle w:val="Zkladntext"/>
              <w:spacing w:before="60" w:line="276" w:lineRule="auto"/>
              <w:jc w:val="both"/>
              <w:rPr>
                <w:b/>
              </w:rPr>
            </w:pPr>
            <w:r>
              <w:rPr>
                <w:rFonts w:eastAsia="Calibri"/>
              </w:rPr>
              <w:t>Žádné nebyly.</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5A13DB">
        <w:rPr>
          <w:b/>
          <w:sz w:val="24"/>
          <w:szCs w:val="24"/>
          <w:u w:val="single"/>
        </w:rPr>
        <w:t xml:space="preserve">a) </w:t>
      </w:r>
      <w:r w:rsidR="000025B4" w:rsidRPr="005A13DB">
        <w:rPr>
          <w:b/>
          <w:sz w:val="24"/>
          <w:szCs w:val="24"/>
          <w:u w:val="single"/>
        </w:rPr>
        <w:t>Srovnání plánovaných výsledků</w:t>
      </w:r>
      <w:r w:rsidR="000025B4" w:rsidRPr="005A13DB">
        <w:rPr>
          <w:sz w:val="24"/>
          <w:szCs w:val="24"/>
          <w:u w:val="single"/>
        </w:rPr>
        <w:t xml:space="preserve"> a </w:t>
      </w:r>
      <w:r w:rsidR="000025B4" w:rsidRPr="005A13DB">
        <w:rPr>
          <w:b/>
          <w:sz w:val="24"/>
          <w:szCs w:val="24"/>
          <w:u w:val="single"/>
        </w:rPr>
        <w:t>uplatněných publikačních výsledků</w:t>
      </w:r>
      <w:r w:rsidR="000025B4" w:rsidRPr="005A13DB">
        <w:t xml:space="preserve"> (</w:t>
      </w:r>
      <w:r w:rsidR="000025B4" w:rsidRPr="00F51386">
        <w:t xml:space="preserve">zejm. na základě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Jneimp – článek v časopise databáze ERIH, Jrec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233FEB" w14:paraId="2BE85281" w14:textId="77777777" w:rsidTr="00233FEB">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233FEB" w:rsidRDefault="00233FEB"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87048D0" w14:textId="77777777" w:rsidR="00233FEB" w:rsidRDefault="00233FEB" w:rsidP="00E3712D">
            <w:pPr>
              <w:pStyle w:val="Zkladntext"/>
              <w:spacing w:before="60" w:line="276" w:lineRule="auto"/>
              <w:jc w:val="center"/>
              <w:rPr>
                <w:b/>
                <w:i/>
                <w:sz w:val="20"/>
                <w:szCs w:val="20"/>
              </w:rPr>
            </w:pPr>
            <w:r>
              <w:rPr>
                <w:b/>
                <w:i/>
                <w:sz w:val="20"/>
                <w:szCs w:val="20"/>
              </w:rPr>
              <w:t>2023</w:t>
            </w:r>
          </w:p>
          <w:p w14:paraId="46A62B74" w14:textId="77777777" w:rsidR="00233FEB" w:rsidRDefault="00233FEB"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233FEB" w:rsidRDefault="00233FEB" w:rsidP="00E3712D">
            <w:pPr>
              <w:pStyle w:val="Zkladntext"/>
              <w:spacing w:before="60" w:line="276" w:lineRule="auto"/>
              <w:jc w:val="center"/>
              <w:rPr>
                <w:b/>
                <w:i/>
                <w:sz w:val="20"/>
                <w:szCs w:val="20"/>
              </w:rPr>
            </w:pPr>
            <w:r>
              <w:rPr>
                <w:b/>
                <w:i/>
                <w:sz w:val="20"/>
                <w:szCs w:val="20"/>
              </w:rPr>
              <w:t>2023</w:t>
            </w:r>
          </w:p>
          <w:p w14:paraId="2D857C97" w14:textId="77777777" w:rsidR="00233FEB" w:rsidRDefault="00233FEB"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7EA8B83C" w14:textId="4C7D99FE" w:rsidR="00233FEB" w:rsidRDefault="00233FEB"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6CB88A90" w:rsidR="00233FEB" w:rsidRDefault="00233FEB" w:rsidP="00E3712D">
            <w:pPr>
              <w:pStyle w:val="Zkladntext"/>
              <w:spacing w:before="60" w:line="276" w:lineRule="auto"/>
              <w:jc w:val="center"/>
              <w:rPr>
                <w:b/>
                <w:i/>
                <w:sz w:val="20"/>
                <w:szCs w:val="20"/>
              </w:rPr>
            </w:pPr>
            <w:r>
              <w:rPr>
                <w:b/>
                <w:i/>
                <w:sz w:val="20"/>
                <w:szCs w:val="20"/>
              </w:rPr>
              <w:t>2023</w:t>
            </w:r>
          </w:p>
          <w:p w14:paraId="0650D111" w14:textId="77777777" w:rsidR="00233FEB" w:rsidRDefault="00233FEB"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233FEB" w:rsidRDefault="00233FEB" w:rsidP="00E3712D">
            <w:pPr>
              <w:pStyle w:val="Zkladntext"/>
              <w:spacing w:before="60" w:line="276" w:lineRule="auto"/>
              <w:jc w:val="center"/>
              <w:rPr>
                <w:b/>
                <w:i/>
                <w:sz w:val="20"/>
                <w:szCs w:val="20"/>
              </w:rPr>
            </w:pPr>
            <w:r>
              <w:rPr>
                <w:b/>
                <w:i/>
                <w:sz w:val="20"/>
                <w:szCs w:val="20"/>
              </w:rPr>
              <w:t>2019-2022</w:t>
            </w:r>
          </w:p>
          <w:p w14:paraId="44AAB33C" w14:textId="77777777" w:rsidR="00233FEB" w:rsidRDefault="00233FEB"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233FEB" w:rsidRDefault="00233FEB" w:rsidP="00E3712D">
            <w:pPr>
              <w:pStyle w:val="Zkladntext"/>
              <w:spacing w:before="60" w:line="276" w:lineRule="auto"/>
              <w:jc w:val="center"/>
              <w:rPr>
                <w:b/>
                <w:i/>
                <w:sz w:val="20"/>
                <w:szCs w:val="20"/>
              </w:rPr>
            </w:pPr>
            <w:r>
              <w:rPr>
                <w:b/>
                <w:i/>
                <w:sz w:val="20"/>
                <w:szCs w:val="20"/>
              </w:rPr>
              <w:t>2023</w:t>
            </w:r>
          </w:p>
          <w:p w14:paraId="2A3AC6C6" w14:textId="77777777" w:rsidR="00233FEB" w:rsidRDefault="00233FEB" w:rsidP="00E3712D">
            <w:pPr>
              <w:pStyle w:val="Zkladntext"/>
              <w:spacing w:before="60" w:line="276" w:lineRule="auto"/>
              <w:jc w:val="center"/>
              <w:rPr>
                <w:b/>
                <w:i/>
                <w:sz w:val="20"/>
                <w:szCs w:val="20"/>
              </w:rPr>
            </w:pPr>
            <w:r>
              <w:rPr>
                <w:b/>
                <w:i/>
                <w:sz w:val="20"/>
                <w:szCs w:val="20"/>
              </w:rPr>
              <w:t>neplánované</w:t>
            </w:r>
          </w:p>
        </w:tc>
      </w:tr>
      <w:tr w:rsidR="00233FEB" w:rsidRPr="00602A95" w14:paraId="700B8DB5" w14:textId="77777777" w:rsidTr="00233FEB">
        <w:trPr>
          <w:jc w:val="center"/>
        </w:trPr>
        <w:tc>
          <w:tcPr>
            <w:tcW w:w="983" w:type="dxa"/>
            <w:tcBorders>
              <w:top w:val="single" w:sz="12" w:space="0" w:color="auto"/>
              <w:bottom w:val="single" w:sz="4" w:space="0" w:color="auto"/>
            </w:tcBorders>
            <w:hideMark/>
          </w:tcPr>
          <w:p w14:paraId="0AB1D7AA" w14:textId="48677CD2" w:rsidR="00233FEB" w:rsidRPr="00602A95" w:rsidRDefault="00233FEB" w:rsidP="00D44650">
            <w:r>
              <w:t>č</w:t>
            </w:r>
            <w:r w:rsidRPr="00A4749E">
              <w:t>. 1</w:t>
            </w:r>
          </w:p>
        </w:tc>
        <w:tc>
          <w:tcPr>
            <w:tcW w:w="1399" w:type="dxa"/>
            <w:tcBorders>
              <w:top w:val="single" w:sz="12" w:space="0" w:color="auto"/>
              <w:bottom w:val="single" w:sz="4" w:space="0" w:color="auto"/>
            </w:tcBorders>
          </w:tcPr>
          <w:p w14:paraId="63AB3C18" w14:textId="6ACD4DFC" w:rsidR="00233FEB" w:rsidRPr="00602A95" w:rsidRDefault="00233FEB" w:rsidP="00A1044C">
            <w:pPr>
              <w:jc w:val="center"/>
            </w:pPr>
            <w:r>
              <w:t>1xB</w:t>
            </w:r>
          </w:p>
        </w:tc>
        <w:tc>
          <w:tcPr>
            <w:tcW w:w="1719" w:type="dxa"/>
            <w:tcBorders>
              <w:top w:val="single" w:sz="12" w:space="0" w:color="auto"/>
              <w:bottom w:val="single" w:sz="4" w:space="0" w:color="auto"/>
            </w:tcBorders>
          </w:tcPr>
          <w:p w14:paraId="3B2D4C6C" w14:textId="3999A2EA" w:rsidR="00233FEB" w:rsidRPr="00602A95" w:rsidRDefault="00233FEB" w:rsidP="00A1044C">
            <w:pPr>
              <w:jc w:val="center"/>
            </w:pPr>
            <w:r>
              <w:t>1xB</w:t>
            </w:r>
          </w:p>
        </w:tc>
        <w:tc>
          <w:tcPr>
            <w:tcW w:w="1559" w:type="dxa"/>
            <w:tcBorders>
              <w:top w:val="single" w:sz="12" w:space="0" w:color="auto"/>
              <w:bottom w:val="single" w:sz="4" w:space="0" w:color="auto"/>
            </w:tcBorders>
          </w:tcPr>
          <w:p w14:paraId="7FE091D0" w14:textId="77777777" w:rsidR="00233FEB" w:rsidRPr="00602A95" w:rsidRDefault="00233FEB" w:rsidP="00A1044C">
            <w:pPr>
              <w:jc w:val="center"/>
            </w:pPr>
          </w:p>
        </w:tc>
        <w:tc>
          <w:tcPr>
            <w:tcW w:w="1559" w:type="dxa"/>
            <w:tcBorders>
              <w:top w:val="single" w:sz="12" w:space="0" w:color="auto"/>
              <w:bottom w:val="single" w:sz="4" w:space="0" w:color="auto"/>
            </w:tcBorders>
          </w:tcPr>
          <w:p w14:paraId="53D98DB2" w14:textId="29B0D4CD" w:rsidR="00233FEB" w:rsidRPr="00602A95" w:rsidRDefault="00233FEB" w:rsidP="00A1044C">
            <w:pPr>
              <w:jc w:val="center"/>
            </w:pPr>
          </w:p>
        </w:tc>
        <w:tc>
          <w:tcPr>
            <w:tcW w:w="1843" w:type="dxa"/>
            <w:tcBorders>
              <w:top w:val="single" w:sz="12" w:space="0" w:color="auto"/>
              <w:bottom w:val="single" w:sz="4" w:space="0" w:color="auto"/>
            </w:tcBorders>
          </w:tcPr>
          <w:p w14:paraId="5C1DC3EC" w14:textId="6E698CB8" w:rsidR="00233FEB" w:rsidRPr="00602A95" w:rsidRDefault="00233FEB" w:rsidP="00A1044C">
            <w:pPr>
              <w:jc w:val="center"/>
            </w:pPr>
          </w:p>
        </w:tc>
        <w:tc>
          <w:tcPr>
            <w:tcW w:w="1276" w:type="dxa"/>
            <w:tcBorders>
              <w:top w:val="single" w:sz="12" w:space="0" w:color="auto"/>
              <w:bottom w:val="single" w:sz="4" w:space="0" w:color="auto"/>
            </w:tcBorders>
          </w:tcPr>
          <w:p w14:paraId="7CF221E7" w14:textId="03BAB2A7" w:rsidR="00233FEB" w:rsidRPr="00602A95" w:rsidRDefault="00233FEB" w:rsidP="00A1044C">
            <w:pPr>
              <w:jc w:val="center"/>
            </w:pPr>
            <w:r>
              <w:t>1xB, 2xJ</w:t>
            </w:r>
          </w:p>
        </w:tc>
      </w:tr>
      <w:tr w:rsidR="00233FEB" w14:paraId="72B2D19E" w14:textId="77777777" w:rsidTr="00233FEB">
        <w:trPr>
          <w:jc w:val="center"/>
        </w:trPr>
        <w:tc>
          <w:tcPr>
            <w:tcW w:w="983" w:type="dxa"/>
            <w:tcBorders>
              <w:top w:val="single" w:sz="4" w:space="0" w:color="auto"/>
              <w:bottom w:val="single" w:sz="4" w:space="0" w:color="auto"/>
            </w:tcBorders>
          </w:tcPr>
          <w:p w14:paraId="06483D16" w14:textId="51B98E72" w:rsidR="00233FEB" w:rsidRDefault="00233FEB" w:rsidP="00D44650">
            <w:r>
              <w:t>č</w:t>
            </w:r>
            <w:r w:rsidRPr="00A4749E">
              <w:t>. 2</w:t>
            </w:r>
          </w:p>
        </w:tc>
        <w:tc>
          <w:tcPr>
            <w:tcW w:w="1399" w:type="dxa"/>
            <w:tcBorders>
              <w:top w:val="single" w:sz="4" w:space="0" w:color="auto"/>
              <w:bottom w:val="single" w:sz="4" w:space="0" w:color="auto"/>
            </w:tcBorders>
          </w:tcPr>
          <w:p w14:paraId="1C5C30DD" w14:textId="4B3CCBC5" w:rsidR="00233FEB" w:rsidRDefault="00233FEB" w:rsidP="00A1044C">
            <w:pPr>
              <w:jc w:val="center"/>
            </w:pPr>
            <w:r>
              <w:t>1xJ</w:t>
            </w:r>
          </w:p>
        </w:tc>
        <w:tc>
          <w:tcPr>
            <w:tcW w:w="1719" w:type="dxa"/>
            <w:tcBorders>
              <w:top w:val="single" w:sz="4" w:space="0" w:color="auto"/>
              <w:bottom w:val="single" w:sz="4" w:space="0" w:color="auto"/>
            </w:tcBorders>
          </w:tcPr>
          <w:p w14:paraId="17CB46C9" w14:textId="5CCC4601" w:rsidR="00233FEB" w:rsidRDefault="00233FEB" w:rsidP="00A1044C">
            <w:pPr>
              <w:jc w:val="center"/>
            </w:pPr>
            <w:r>
              <w:t>1xJ</w:t>
            </w:r>
          </w:p>
        </w:tc>
        <w:tc>
          <w:tcPr>
            <w:tcW w:w="1559" w:type="dxa"/>
            <w:tcBorders>
              <w:top w:val="single" w:sz="4" w:space="0" w:color="auto"/>
              <w:bottom w:val="single" w:sz="4" w:space="0" w:color="auto"/>
            </w:tcBorders>
          </w:tcPr>
          <w:p w14:paraId="6952D065" w14:textId="5F9B55DB" w:rsidR="00233FEB" w:rsidRDefault="00233FEB" w:rsidP="00A1044C">
            <w:pPr>
              <w:jc w:val="center"/>
            </w:pPr>
            <w:r>
              <w:t>1xB</w:t>
            </w:r>
          </w:p>
        </w:tc>
        <w:tc>
          <w:tcPr>
            <w:tcW w:w="1559" w:type="dxa"/>
            <w:tcBorders>
              <w:top w:val="single" w:sz="4" w:space="0" w:color="auto"/>
              <w:bottom w:val="single" w:sz="4" w:space="0" w:color="auto"/>
            </w:tcBorders>
          </w:tcPr>
          <w:p w14:paraId="6C673ED8" w14:textId="6546D47E" w:rsidR="00233FEB" w:rsidRDefault="00233FEB" w:rsidP="00A1044C">
            <w:pPr>
              <w:jc w:val="center"/>
            </w:pPr>
          </w:p>
        </w:tc>
        <w:tc>
          <w:tcPr>
            <w:tcW w:w="1843" w:type="dxa"/>
            <w:tcBorders>
              <w:top w:val="single" w:sz="4" w:space="0" w:color="auto"/>
              <w:bottom w:val="single" w:sz="4" w:space="0" w:color="auto"/>
            </w:tcBorders>
          </w:tcPr>
          <w:p w14:paraId="4FE2DCA7" w14:textId="624865D4" w:rsidR="00233FEB" w:rsidRDefault="00233FEB" w:rsidP="00A1044C">
            <w:pPr>
              <w:jc w:val="center"/>
            </w:pPr>
          </w:p>
        </w:tc>
        <w:tc>
          <w:tcPr>
            <w:tcW w:w="1276" w:type="dxa"/>
            <w:tcBorders>
              <w:top w:val="single" w:sz="4" w:space="0" w:color="auto"/>
              <w:bottom w:val="single" w:sz="4" w:space="0" w:color="auto"/>
            </w:tcBorders>
          </w:tcPr>
          <w:p w14:paraId="4D37D9FE" w14:textId="7FFF7B8A" w:rsidR="00233FEB" w:rsidRDefault="00233FEB" w:rsidP="00A1044C">
            <w:pPr>
              <w:jc w:val="center"/>
            </w:pPr>
            <w:r>
              <w:t>2xB, 1xJ</w:t>
            </w:r>
          </w:p>
        </w:tc>
      </w:tr>
      <w:tr w:rsidR="00233FEB" w14:paraId="561CE0F0" w14:textId="77777777" w:rsidTr="00233FEB">
        <w:trPr>
          <w:jc w:val="center"/>
        </w:trPr>
        <w:tc>
          <w:tcPr>
            <w:tcW w:w="983" w:type="dxa"/>
            <w:tcBorders>
              <w:top w:val="single" w:sz="4" w:space="0" w:color="auto"/>
              <w:bottom w:val="single" w:sz="4" w:space="0" w:color="auto"/>
            </w:tcBorders>
          </w:tcPr>
          <w:p w14:paraId="5E286B9E" w14:textId="70F14B7A" w:rsidR="00233FEB" w:rsidRPr="00A4749E" w:rsidRDefault="00233FEB" w:rsidP="00A1044C">
            <w:r>
              <w:t>č</w:t>
            </w:r>
            <w:r w:rsidRPr="00A4749E">
              <w:t xml:space="preserve">. </w:t>
            </w:r>
            <w:r>
              <w:t>3</w:t>
            </w:r>
          </w:p>
        </w:tc>
        <w:tc>
          <w:tcPr>
            <w:tcW w:w="1399" w:type="dxa"/>
            <w:tcBorders>
              <w:top w:val="single" w:sz="4" w:space="0" w:color="auto"/>
              <w:bottom w:val="single" w:sz="4" w:space="0" w:color="auto"/>
            </w:tcBorders>
          </w:tcPr>
          <w:p w14:paraId="4FB5790B" w14:textId="0ACF3D11" w:rsidR="00233FEB" w:rsidRDefault="00233FEB" w:rsidP="00A1044C">
            <w:pPr>
              <w:jc w:val="center"/>
            </w:pPr>
            <w:r>
              <w:t>1xB</w:t>
            </w:r>
          </w:p>
        </w:tc>
        <w:tc>
          <w:tcPr>
            <w:tcW w:w="1719" w:type="dxa"/>
            <w:tcBorders>
              <w:top w:val="single" w:sz="4" w:space="0" w:color="auto"/>
              <w:bottom w:val="single" w:sz="4" w:space="0" w:color="auto"/>
            </w:tcBorders>
          </w:tcPr>
          <w:p w14:paraId="7FF1835E" w14:textId="4B666AAD" w:rsidR="00233FEB" w:rsidRDefault="00233FEB" w:rsidP="00A1044C">
            <w:pPr>
              <w:jc w:val="center"/>
            </w:pPr>
            <w:r>
              <w:t>1xB</w:t>
            </w:r>
          </w:p>
        </w:tc>
        <w:tc>
          <w:tcPr>
            <w:tcW w:w="1559" w:type="dxa"/>
            <w:tcBorders>
              <w:top w:val="single" w:sz="4" w:space="0" w:color="auto"/>
              <w:bottom w:val="single" w:sz="4" w:space="0" w:color="auto"/>
            </w:tcBorders>
          </w:tcPr>
          <w:p w14:paraId="24038FA7" w14:textId="77777777" w:rsidR="00233FEB" w:rsidRDefault="00233FEB" w:rsidP="00A1044C">
            <w:pPr>
              <w:jc w:val="center"/>
            </w:pPr>
          </w:p>
        </w:tc>
        <w:tc>
          <w:tcPr>
            <w:tcW w:w="1559" w:type="dxa"/>
            <w:tcBorders>
              <w:top w:val="single" w:sz="4" w:space="0" w:color="auto"/>
              <w:bottom w:val="single" w:sz="4" w:space="0" w:color="auto"/>
            </w:tcBorders>
          </w:tcPr>
          <w:p w14:paraId="6F49AE52" w14:textId="29119EBD" w:rsidR="00233FEB" w:rsidRDefault="00233FEB" w:rsidP="00A1044C">
            <w:pPr>
              <w:jc w:val="center"/>
            </w:pPr>
          </w:p>
        </w:tc>
        <w:tc>
          <w:tcPr>
            <w:tcW w:w="1843" w:type="dxa"/>
            <w:tcBorders>
              <w:top w:val="single" w:sz="4" w:space="0" w:color="auto"/>
              <w:bottom w:val="single" w:sz="4" w:space="0" w:color="auto"/>
            </w:tcBorders>
          </w:tcPr>
          <w:p w14:paraId="78B185AF" w14:textId="77777777" w:rsidR="00233FEB" w:rsidRDefault="00233FEB" w:rsidP="00A1044C">
            <w:pPr>
              <w:jc w:val="center"/>
            </w:pPr>
          </w:p>
        </w:tc>
        <w:tc>
          <w:tcPr>
            <w:tcW w:w="1276" w:type="dxa"/>
            <w:tcBorders>
              <w:top w:val="single" w:sz="4" w:space="0" w:color="auto"/>
              <w:bottom w:val="single" w:sz="4" w:space="0" w:color="auto"/>
            </w:tcBorders>
          </w:tcPr>
          <w:p w14:paraId="4D627B31" w14:textId="1D862E0C" w:rsidR="00233FEB" w:rsidRDefault="00233FEB" w:rsidP="00A1044C">
            <w:pPr>
              <w:jc w:val="center"/>
            </w:pPr>
            <w:r>
              <w:t>1xJ</w:t>
            </w:r>
          </w:p>
        </w:tc>
      </w:tr>
      <w:tr w:rsidR="00233FEB" w14:paraId="1D8C8303" w14:textId="77777777" w:rsidTr="00233FEB">
        <w:trPr>
          <w:jc w:val="center"/>
        </w:trPr>
        <w:tc>
          <w:tcPr>
            <w:tcW w:w="983" w:type="dxa"/>
            <w:tcBorders>
              <w:top w:val="single" w:sz="4" w:space="0" w:color="auto"/>
              <w:bottom w:val="single" w:sz="4" w:space="0" w:color="auto"/>
            </w:tcBorders>
          </w:tcPr>
          <w:p w14:paraId="39DE2B23" w14:textId="38BAC784" w:rsidR="00233FEB" w:rsidRPr="00A4749E" w:rsidRDefault="00233FEB" w:rsidP="00305CAF">
            <w:r>
              <w:t>č</w:t>
            </w:r>
            <w:r w:rsidRPr="00A4749E">
              <w:t xml:space="preserve">. </w:t>
            </w:r>
            <w:r>
              <w:t>4</w:t>
            </w:r>
          </w:p>
        </w:tc>
        <w:tc>
          <w:tcPr>
            <w:tcW w:w="1399" w:type="dxa"/>
            <w:tcBorders>
              <w:top w:val="single" w:sz="4" w:space="0" w:color="auto"/>
              <w:bottom w:val="single" w:sz="4" w:space="0" w:color="auto"/>
            </w:tcBorders>
          </w:tcPr>
          <w:p w14:paraId="1B29AFEA" w14:textId="17B5B2F9" w:rsidR="00233FEB" w:rsidRDefault="00233FEB" w:rsidP="00305CAF">
            <w:pPr>
              <w:jc w:val="center"/>
            </w:pPr>
            <w:r>
              <w:t>1xB</w:t>
            </w:r>
          </w:p>
        </w:tc>
        <w:tc>
          <w:tcPr>
            <w:tcW w:w="1719" w:type="dxa"/>
            <w:tcBorders>
              <w:top w:val="single" w:sz="4" w:space="0" w:color="auto"/>
              <w:bottom w:val="single" w:sz="4" w:space="0" w:color="auto"/>
            </w:tcBorders>
          </w:tcPr>
          <w:p w14:paraId="294E6173" w14:textId="309FC11E" w:rsidR="00233FEB" w:rsidRDefault="00233FEB" w:rsidP="00305CAF">
            <w:pPr>
              <w:jc w:val="center"/>
            </w:pPr>
            <w:r>
              <w:t>1xB</w:t>
            </w:r>
          </w:p>
        </w:tc>
        <w:tc>
          <w:tcPr>
            <w:tcW w:w="1559" w:type="dxa"/>
            <w:tcBorders>
              <w:top w:val="single" w:sz="4" w:space="0" w:color="auto"/>
              <w:bottom w:val="single" w:sz="4" w:space="0" w:color="auto"/>
            </w:tcBorders>
          </w:tcPr>
          <w:p w14:paraId="2ED75B88" w14:textId="77777777" w:rsidR="00233FEB" w:rsidRDefault="00233FEB" w:rsidP="00305CAF">
            <w:pPr>
              <w:jc w:val="center"/>
            </w:pPr>
          </w:p>
        </w:tc>
        <w:tc>
          <w:tcPr>
            <w:tcW w:w="1559" w:type="dxa"/>
            <w:tcBorders>
              <w:top w:val="single" w:sz="4" w:space="0" w:color="auto"/>
              <w:bottom w:val="single" w:sz="4" w:space="0" w:color="auto"/>
            </w:tcBorders>
          </w:tcPr>
          <w:p w14:paraId="3EFD5085" w14:textId="37AACF16" w:rsidR="00233FEB" w:rsidRDefault="00233FEB" w:rsidP="00305CAF">
            <w:pPr>
              <w:jc w:val="center"/>
            </w:pPr>
          </w:p>
        </w:tc>
        <w:tc>
          <w:tcPr>
            <w:tcW w:w="1843" w:type="dxa"/>
            <w:tcBorders>
              <w:top w:val="single" w:sz="4" w:space="0" w:color="auto"/>
              <w:bottom w:val="single" w:sz="4" w:space="0" w:color="auto"/>
            </w:tcBorders>
          </w:tcPr>
          <w:p w14:paraId="1706CCB2" w14:textId="77777777" w:rsidR="00233FEB" w:rsidRDefault="00233FEB" w:rsidP="00305CAF">
            <w:pPr>
              <w:jc w:val="center"/>
            </w:pPr>
          </w:p>
        </w:tc>
        <w:tc>
          <w:tcPr>
            <w:tcW w:w="1276" w:type="dxa"/>
            <w:tcBorders>
              <w:top w:val="single" w:sz="4" w:space="0" w:color="auto"/>
              <w:bottom w:val="single" w:sz="4" w:space="0" w:color="auto"/>
            </w:tcBorders>
          </w:tcPr>
          <w:p w14:paraId="7AE77BFD" w14:textId="4FE6B627" w:rsidR="00233FEB" w:rsidRDefault="00233FEB" w:rsidP="00305CAF">
            <w:pPr>
              <w:jc w:val="center"/>
            </w:pPr>
            <w:r>
              <w:t>3xJ</w:t>
            </w:r>
          </w:p>
        </w:tc>
      </w:tr>
      <w:tr w:rsidR="00233FEB" w14:paraId="0AF4D5BF" w14:textId="77777777" w:rsidTr="00233FEB">
        <w:trPr>
          <w:jc w:val="center"/>
        </w:trPr>
        <w:tc>
          <w:tcPr>
            <w:tcW w:w="983" w:type="dxa"/>
            <w:tcBorders>
              <w:top w:val="single" w:sz="4" w:space="0" w:color="auto"/>
              <w:bottom w:val="single" w:sz="4" w:space="0" w:color="auto"/>
            </w:tcBorders>
          </w:tcPr>
          <w:p w14:paraId="118BC382" w14:textId="348B6919" w:rsidR="00233FEB" w:rsidRPr="00A4749E" w:rsidRDefault="00233FEB" w:rsidP="00305CAF">
            <w:r>
              <w:t>č</w:t>
            </w:r>
            <w:r w:rsidRPr="00A4749E">
              <w:t xml:space="preserve">. </w:t>
            </w:r>
            <w:r>
              <w:t>5</w:t>
            </w:r>
          </w:p>
        </w:tc>
        <w:tc>
          <w:tcPr>
            <w:tcW w:w="1399" w:type="dxa"/>
            <w:tcBorders>
              <w:top w:val="single" w:sz="4" w:space="0" w:color="auto"/>
              <w:bottom w:val="single" w:sz="4" w:space="0" w:color="auto"/>
            </w:tcBorders>
          </w:tcPr>
          <w:p w14:paraId="39D7FB37" w14:textId="68940E7B" w:rsidR="00233FEB" w:rsidRDefault="00233FEB" w:rsidP="00305CAF">
            <w:pPr>
              <w:jc w:val="center"/>
            </w:pPr>
            <w:r>
              <w:t>1xB</w:t>
            </w:r>
          </w:p>
        </w:tc>
        <w:tc>
          <w:tcPr>
            <w:tcW w:w="1719" w:type="dxa"/>
            <w:tcBorders>
              <w:top w:val="single" w:sz="4" w:space="0" w:color="auto"/>
              <w:bottom w:val="single" w:sz="4" w:space="0" w:color="auto"/>
            </w:tcBorders>
          </w:tcPr>
          <w:p w14:paraId="2DCD2E2B" w14:textId="12FC7B4C" w:rsidR="00233FEB" w:rsidRDefault="00233FEB" w:rsidP="00305CAF">
            <w:pPr>
              <w:jc w:val="center"/>
            </w:pPr>
            <w:r>
              <w:t>1xB</w:t>
            </w:r>
          </w:p>
        </w:tc>
        <w:tc>
          <w:tcPr>
            <w:tcW w:w="1559" w:type="dxa"/>
            <w:tcBorders>
              <w:top w:val="single" w:sz="4" w:space="0" w:color="auto"/>
              <w:bottom w:val="single" w:sz="4" w:space="0" w:color="auto"/>
            </w:tcBorders>
          </w:tcPr>
          <w:p w14:paraId="0B50712E" w14:textId="77777777" w:rsidR="00233FEB" w:rsidRDefault="00233FEB" w:rsidP="00305CAF">
            <w:pPr>
              <w:jc w:val="center"/>
            </w:pPr>
          </w:p>
        </w:tc>
        <w:tc>
          <w:tcPr>
            <w:tcW w:w="1559" w:type="dxa"/>
            <w:tcBorders>
              <w:top w:val="single" w:sz="4" w:space="0" w:color="auto"/>
              <w:bottom w:val="single" w:sz="4" w:space="0" w:color="auto"/>
            </w:tcBorders>
          </w:tcPr>
          <w:p w14:paraId="33710283" w14:textId="16DF3066" w:rsidR="00233FEB" w:rsidRDefault="00233FEB" w:rsidP="00305CAF">
            <w:pPr>
              <w:jc w:val="center"/>
            </w:pPr>
          </w:p>
        </w:tc>
        <w:tc>
          <w:tcPr>
            <w:tcW w:w="1843" w:type="dxa"/>
            <w:tcBorders>
              <w:top w:val="single" w:sz="4" w:space="0" w:color="auto"/>
              <w:bottom w:val="single" w:sz="4" w:space="0" w:color="auto"/>
            </w:tcBorders>
          </w:tcPr>
          <w:p w14:paraId="117A1BBB" w14:textId="77777777" w:rsidR="00233FEB" w:rsidRDefault="00233FEB" w:rsidP="00305CAF">
            <w:pPr>
              <w:jc w:val="center"/>
            </w:pPr>
          </w:p>
        </w:tc>
        <w:tc>
          <w:tcPr>
            <w:tcW w:w="1276" w:type="dxa"/>
            <w:tcBorders>
              <w:top w:val="single" w:sz="4" w:space="0" w:color="auto"/>
              <w:bottom w:val="single" w:sz="4" w:space="0" w:color="auto"/>
            </w:tcBorders>
          </w:tcPr>
          <w:p w14:paraId="14869AFF" w14:textId="77777777" w:rsidR="00233FEB" w:rsidRDefault="00233FEB" w:rsidP="00305CAF">
            <w:pPr>
              <w:jc w:val="center"/>
            </w:pPr>
          </w:p>
        </w:tc>
      </w:tr>
      <w:tr w:rsidR="00233FEB" w14:paraId="0D17BE31" w14:textId="77777777" w:rsidTr="00233FEB">
        <w:trPr>
          <w:jc w:val="center"/>
        </w:trPr>
        <w:tc>
          <w:tcPr>
            <w:tcW w:w="983" w:type="dxa"/>
            <w:tcBorders>
              <w:top w:val="single" w:sz="4" w:space="0" w:color="auto"/>
              <w:bottom w:val="single" w:sz="4" w:space="0" w:color="auto"/>
            </w:tcBorders>
          </w:tcPr>
          <w:p w14:paraId="1236B0E7" w14:textId="6940D53E" w:rsidR="00233FEB" w:rsidRPr="00A4749E" w:rsidRDefault="00233FEB" w:rsidP="00305CAF">
            <w:r>
              <w:t>č</w:t>
            </w:r>
            <w:r w:rsidRPr="00A4749E">
              <w:t xml:space="preserve">. </w:t>
            </w:r>
            <w:r>
              <w:t>6</w:t>
            </w:r>
          </w:p>
        </w:tc>
        <w:tc>
          <w:tcPr>
            <w:tcW w:w="1399" w:type="dxa"/>
            <w:tcBorders>
              <w:top w:val="single" w:sz="4" w:space="0" w:color="auto"/>
              <w:bottom w:val="single" w:sz="4" w:space="0" w:color="auto"/>
            </w:tcBorders>
          </w:tcPr>
          <w:p w14:paraId="572D576C" w14:textId="1328A507" w:rsidR="00233FEB" w:rsidRDefault="00233FEB" w:rsidP="00305CAF">
            <w:pPr>
              <w:jc w:val="center"/>
            </w:pPr>
            <w:r>
              <w:t>1xB</w:t>
            </w:r>
          </w:p>
        </w:tc>
        <w:tc>
          <w:tcPr>
            <w:tcW w:w="1719" w:type="dxa"/>
            <w:tcBorders>
              <w:top w:val="single" w:sz="4" w:space="0" w:color="auto"/>
              <w:bottom w:val="single" w:sz="4" w:space="0" w:color="auto"/>
            </w:tcBorders>
          </w:tcPr>
          <w:p w14:paraId="017FAB58" w14:textId="194FC5DA" w:rsidR="00233FEB" w:rsidRDefault="00233FEB" w:rsidP="00305CAF">
            <w:pPr>
              <w:jc w:val="center"/>
            </w:pPr>
            <w:r>
              <w:t>1xB</w:t>
            </w:r>
          </w:p>
        </w:tc>
        <w:tc>
          <w:tcPr>
            <w:tcW w:w="1559" w:type="dxa"/>
            <w:tcBorders>
              <w:top w:val="single" w:sz="4" w:space="0" w:color="auto"/>
              <w:bottom w:val="single" w:sz="4" w:space="0" w:color="auto"/>
            </w:tcBorders>
          </w:tcPr>
          <w:p w14:paraId="6E9FD0E0" w14:textId="77777777" w:rsidR="00233FEB" w:rsidRDefault="00233FEB" w:rsidP="00305CAF">
            <w:pPr>
              <w:jc w:val="center"/>
            </w:pPr>
          </w:p>
        </w:tc>
        <w:tc>
          <w:tcPr>
            <w:tcW w:w="1559" w:type="dxa"/>
            <w:tcBorders>
              <w:top w:val="single" w:sz="4" w:space="0" w:color="auto"/>
              <w:bottom w:val="single" w:sz="4" w:space="0" w:color="auto"/>
            </w:tcBorders>
          </w:tcPr>
          <w:p w14:paraId="19DD1208" w14:textId="2812A710" w:rsidR="00233FEB" w:rsidRDefault="00233FEB" w:rsidP="00305CAF">
            <w:pPr>
              <w:jc w:val="center"/>
            </w:pPr>
          </w:p>
        </w:tc>
        <w:tc>
          <w:tcPr>
            <w:tcW w:w="1843" w:type="dxa"/>
            <w:tcBorders>
              <w:top w:val="single" w:sz="4" w:space="0" w:color="auto"/>
              <w:bottom w:val="single" w:sz="4" w:space="0" w:color="auto"/>
            </w:tcBorders>
          </w:tcPr>
          <w:p w14:paraId="51098630" w14:textId="77777777" w:rsidR="00233FEB" w:rsidRDefault="00233FEB" w:rsidP="00305CAF">
            <w:pPr>
              <w:jc w:val="center"/>
            </w:pPr>
          </w:p>
        </w:tc>
        <w:tc>
          <w:tcPr>
            <w:tcW w:w="1276" w:type="dxa"/>
            <w:tcBorders>
              <w:top w:val="single" w:sz="4" w:space="0" w:color="auto"/>
              <w:bottom w:val="single" w:sz="4" w:space="0" w:color="auto"/>
            </w:tcBorders>
          </w:tcPr>
          <w:p w14:paraId="756DB723" w14:textId="77493867" w:rsidR="00233FEB" w:rsidRDefault="00233FEB" w:rsidP="00305CAF">
            <w:pPr>
              <w:jc w:val="center"/>
            </w:pPr>
            <w:r>
              <w:t>1xJ</w:t>
            </w:r>
          </w:p>
        </w:tc>
      </w:tr>
      <w:tr w:rsidR="00233FEB" w14:paraId="6577AC7A" w14:textId="77777777" w:rsidTr="00233FEB">
        <w:trPr>
          <w:jc w:val="center"/>
        </w:trPr>
        <w:tc>
          <w:tcPr>
            <w:tcW w:w="983" w:type="dxa"/>
            <w:tcBorders>
              <w:top w:val="single" w:sz="4" w:space="0" w:color="auto"/>
              <w:bottom w:val="single" w:sz="4" w:space="0" w:color="auto"/>
            </w:tcBorders>
          </w:tcPr>
          <w:p w14:paraId="37F4D3E7" w14:textId="2D1273FE" w:rsidR="00233FEB" w:rsidRPr="00A4749E" w:rsidRDefault="00233FEB" w:rsidP="00A1044C">
            <w:r>
              <w:t>č</w:t>
            </w:r>
            <w:r w:rsidRPr="00A4749E">
              <w:t xml:space="preserve">. </w:t>
            </w:r>
            <w:r>
              <w:t>7</w:t>
            </w:r>
          </w:p>
        </w:tc>
        <w:tc>
          <w:tcPr>
            <w:tcW w:w="1399" w:type="dxa"/>
            <w:tcBorders>
              <w:top w:val="single" w:sz="4" w:space="0" w:color="auto"/>
              <w:bottom w:val="single" w:sz="4" w:space="0" w:color="auto"/>
            </w:tcBorders>
          </w:tcPr>
          <w:p w14:paraId="46721D42" w14:textId="77777777" w:rsidR="00233FEB" w:rsidRDefault="00233FEB" w:rsidP="00A1044C">
            <w:pPr>
              <w:jc w:val="center"/>
            </w:pPr>
          </w:p>
        </w:tc>
        <w:tc>
          <w:tcPr>
            <w:tcW w:w="1719" w:type="dxa"/>
            <w:tcBorders>
              <w:top w:val="single" w:sz="4" w:space="0" w:color="auto"/>
              <w:bottom w:val="single" w:sz="4" w:space="0" w:color="auto"/>
            </w:tcBorders>
          </w:tcPr>
          <w:p w14:paraId="22D94CBD" w14:textId="77777777" w:rsidR="00233FEB" w:rsidRDefault="00233FEB" w:rsidP="00A1044C">
            <w:pPr>
              <w:jc w:val="center"/>
            </w:pPr>
          </w:p>
        </w:tc>
        <w:tc>
          <w:tcPr>
            <w:tcW w:w="1559" w:type="dxa"/>
            <w:tcBorders>
              <w:top w:val="single" w:sz="4" w:space="0" w:color="auto"/>
              <w:bottom w:val="single" w:sz="4" w:space="0" w:color="auto"/>
            </w:tcBorders>
          </w:tcPr>
          <w:p w14:paraId="689BCAC1" w14:textId="77777777" w:rsidR="00233FEB" w:rsidRDefault="00233FEB" w:rsidP="00A1044C">
            <w:pPr>
              <w:jc w:val="center"/>
            </w:pPr>
          </w:p>
        </w:tc>
        <w:tc>
          <w:tcPr>
            <w:tcW w:w="1559" w:type="dxa"/>
            <w:tcBorders>
              <w:top w:val="single" w:sz="4" w:space="0" w:color="auto"/>
              <w:bottom w:val="single" w:sz="4" w:space="0" w:color="auto"/>
            </w:tcBorders>
          </w:tcPr>
          <w:p w14:paraId="0561A763" w14:textId="041D06D5" w:rsidR="00233FEB" w:rsidRDefault="00233FEB" w:rsidP="00A1044C">
            <w:pPr>
              <w:jc w:val="center"/>
            </w:pPr>
          </w:p>
        </w:tc>
        <w:tc>
          <w:tcPr>
            <w:tcW w:w="1843" w:type="dxa"/>
            <w:tcBorders>
              <w:top w:val="single" w:sz="4" w:space="0" w:color="auto"/>
              <w:bottom w:val="single" w:sz="4" w:space="0" w:color="auto"/>
            </w:tcBorders>
          </w:tcPr>
          <w:p w14:paraId="0E5F2156" w14:textId="77777777" w:rsidR="00233FEB" w:rsidRDefault="00233FEB" w:rsidP="00A1044C">
            <w:pPr>
              <w:jc w:val="center"/>
            </w:pPr>
          </w:p>
        </w:tc>
        <w:tc>
          <w:tcPr>
            <w:tcW w:w="1276" w:type="dxa"/>
            <w:tcBorders>
              <w:top w:val="single" w:sz="4" w:space="0" w:color="auto"/>
              <w:bottom w:val="single" w:sz="4" w:space="0" w:color="auto"/>
            </w:tcBorders>
          </w:tcPr>
          <w:p w14:paraId="728EA5B3" w14:textId="123FBEB9" w:rsidR="00233FEB" w:rsidRDefault="00233FEB" w:rsidP="00A1044C">
            <w:pPr>
              <w:jc w:val="center"/>
            </w:pPr>
            <w:r>
              <w:t>1xB, 1xJ</w:t>
            </w:r>
          </w:p>
        </w:tc>
      </w:tr>
      <w:tr w:rsidR="00233FEB" w14:paraId="6D9DAEEA" w14:textId="77777777" w:rsidTr="00233FEB">
        <w:trPr>
          <w:jc w:val="center"/>
        </w:trPr>
        <w:tc>
          <w:tcPr>
            <w:tcW w:w="983" w:type="dxa"/>
            <w:tcBorders>
              <w:top w:val="single" w:sz="4" w:space="0" w:color="auto"/>
              <w:bottom w:val="single" w:sz="12" w:space="0" w:color="auto"/>
            </w:tcBorders>
          </w:tcPr>
          <w:p w14:paraId="5C187B77" w14:textId="5B4AB039" w:rsidR="00233FEB" w:rsidRPr="00A4749E" w:rsidRDefault="00233FEB" w:rsidP="00305CAF">
            <w:r>
              <w:t>č</w:t>
            </w:r>
            <w:r w:rsidRPr="00A4749E">
              <w:t xml:space="preserve">. </w:t>
            </w:r>
            <w:r>
              <w:t>8</w:t>
            </w:r>
          </w:p>
        </w:tc>
        <w:tc>
          <w:tcPr>
            <w:tcW w:w="1399" w:type="dxa"/>
            <w:tcBorders>
              <w:top w:val="single" w:sz="4" w:space="0" w:color="auto"/>
              <w:bottom w:val="single" w:sz="12" w:space="0" w:color="auto"/>
            </w:tcBorders>
          </w:tcPr>
          <w:p w14:paraId="32456916" w14:textId="396B6B99" w:rsidR="00233FEB" w:rsidRDefault="00233FEB" w:rsidP="00305CAF">
            <w:pPr>
              <w:jc w:val="center"/>
            </w:pPr>
            <w:r>
              <w:t>2xJ</w:t>
            </w:r>
          </w:p>
        </w:tc>
        <w:tc>
          <w:tcPr>
            <w:tcW w:w="1719" w:type="dxa"/>
            <w:tcBorders>
              <w:top w:val="single" w:sz="4" w:space="0" w:color="auto"/>
              <w:bottom w:val="single" w:sz="12" w:space="0" w:color="auto"/>
            </w:tcBorders>
          </w:tcPr>
          <w:p w14:paraId="2BDD3734" w14:textId="7B8CB67A" w:rsidR="00233FEB" w:rsidRDefault="00233FEB" w:rsidP="00305CAF">
            <w:pPr>
              <w:jc w:val="center"/>
            </w:pPr>
            <w:r>
              <w:t>2xJ</w:t>
            </w:r>
          </w:p>
        </w:tc>
        <w:tc>
          <w:tcPr>
            <w:tcW w:w="1559" w:type="dxa"/>
            <w:tcBorders>
              <w:top w:val="single" w:sz="4" w:space="0" w:color="auto"/>
              <w:bottom w:val="single" w:sz="12" w:space="0" w:color="auto"/>
            </w:tcBorders>
          </w:tcPr>
          <w:p w14:paraId="0D177EE3" w14:textId="77777777" w:rsidR="00233FEB" w:rsidRDefault="00233FEB" w:rsidP="00305CAF">
            <w:pPr>
              <w:jc w:val="center"/>
            </w:pPr>
          </w:p>
        </w:tc>
        <w:tc>
          <w:tcPr>
            <w:tcW w:w="1559" w:type="dxa"/>
            <w:tcBorders>
              <w:top w:val="single" w:sz="4" w:space="0" w:color="auto"/>
              <w:bottom w:val="single" w:sz="12" w:space="0" w:color="auto"/>
            </w:tcBorders>
          </w:tcPr>
          <w:p w14:paraId="609B80EF" w14:textId="3BBE42DA" w:rsidR="00233FEB" w:rsidRDefault="00233FEB" w:rsidP="00305CAF">
            <w:pPr>
              <w:jc w:val="center"/>
            </w:pPr>
          </w:p>
        </w:tc>
        <w:tc>
          <w:tcPr>
            <w:tcW w:w="1843" w:type="dxa"/>
            <w:tcBorders>
              <w:top w:val="single" w:sz="4" w:space="0" w:color="auto"/>
              <w:bottom w:val="single" w:sz="12" w:space="0" w:color="auto"/>
            </w:tcBorders>
          </w:tcPr>
          <w:p w14:paraId="48AE2FC2" w14:textId="77777777" w:rsidR="00233FEB" w:rsidRDefault="00233FEB" w:rsidP="00305CAF">
            <w:pPr>
              <w:jc w:val="center"/>
            </w:pPr>
          </w:p>
        </w:tc>
        <w:tc>
          <w:tcPr>
            <w:tcW w:w="1276" w:type="dxa"/>
            <w:tcBorders>
              <w:top w:val="single" w:sz="4" w:space="0" w:color="auto"/>
              <w:bottom w:val="single" w:sz="12" w:space="0" w:color="auto"/>
            </w:tcBorders>
          </w:tcPr>
          <w:p w14:paraId="5D6B04A2" w14:textId="77777777" w:rsidR="00233FEB" w:rsidRDefault="00233FEB" w:rsidP="00305CAF">
            <w:pPr>
              <w:jc w:val="center"/>
            </w:pPr>
          </w:p>
        </w:tc>
      </w:tr>
      <w:tr w:rsidR="00233FEB" w:rsidRPr="00B22CE2" w14:paraId="5399E8C6" w14:textId="77777777" w:rsidTr="00233FEB">
        <w:trPr>
          <w:jc w:val="center"/>
        </w:trPr>
        <w:tc>
          <w:tcPr>
            <w:tcW w:w="983" w:type="dxa"/>
            <w:tcBorders>
              <w:top w:val="single" w:sz="12" w:space="0" w:color="auto"/>
              <w:bottom w:val="single" w:sz="12" w:space="0" w:color="auto"/>
            </w:tcBorders>
          </w:tcPr>
          <w:p w14:paraId="51208D43" w14:textId="77777777" w:rsidR="00233FEB" w:rsidRPr="00B22CE2" w:rsidRDefault="00233FEB" w:rsidP="00D44650">
            <w:pPr>
              <w:rPr>
                <w:b/>
              </w:rPr>
            </w:pPr>
            <w:r w:rsidRPr="00B22CE2">
              <w:rPr>
                <w:b/>
              </w:rPr>
              <w:t>Celkem</w:t>
            </w:r>
          </w:p>
        </w:tc>
        <w:tc>
          <w:tcPr>
            <w:tcW w:w="1399" w:type="dxa"/>
            <w:tcBorders>
              <w:top w:val="single" w:sz="12" w:space="0" w:color="auto"/>
              <w:bottom w:val="single" w:sz="12" w:space="0" w:color="auto"/>
            </w:tcBorders>
          </w:tcPr>
          <w:p w14:paraId="68D82EB6" w14:textId="059D0E18" w:rsidR="00233FEB" w:rsidRPr="00B22CE2" w:rsidRDefault="00233FEB" w:rsidP="00C13F13">
            <w:pPr>
              <w:jc w:val="center"/>
              <w:rPr>
                <w:b/>
              </w:rPr>
            </w:pPr>
            <w:r>
              <w:rPr>
                <w:b/>
              </w:rPr>
              <w:t>5xB, 3xJ</w:t>
            </w:r>
          </w:p>
        </w:tc>
        <w:tc>
          <w:tcPr>
            <w:tcW w:w="1719" w:type="dxa"/>
            <w:tcBorders>
              <w:top w:val="single" w:sz="12" w:space="0" w:color="auto"/>
              <w:bottom w:val="single" w:sz="12" w:space="0" w:color="auto"/>
            </w:tcBorders>
          </w:tcPr>
          <w:p w14:paraId="4884E11F" w14:textId="27BD378C" w:rsidR="00233FEB" w:rsidRPr="00B22CE2" w:rsidRDefault="00233FEB" w:rsidP="00C13F13">
            <w:pPr>
              <w:jc w:val="center"/>
              <w:rPr>
                <w:b/>
              </w:rPr>
            </w:pPr>
            <w:r>
              <w:rPr>
                <w:b/>
              </w:rPr>
              <w:t>5xB, 3xJ</w:t>
            </w:r>
          </w:p>
        </w:tc>
        <w:tc>
          <w:tcPr>
            <w:tcW w:w="1559" w:type="dxa"/>
            <w:tcBorders>
              <w:top w:val="single" w:sz="12" w:space="0" w:color="auto"/>
              <w:bottom w:val="single" w:sz="12" w:space="0" w:color="auto"/>
            </w:tcBorders>
          </w:tcPr>
          <w:p w14:paraId="0E3B1C2A" w14:textId="0ECF9260" w:rsidR="00233FEB" w:rsidRPr="00C52405" w:rsidRDefault="00C52405" w:rsidP="00C13F13">
            <w:pPr>
              <w:jc w:val="center"/>
              <w:rPr>
                <w:b/>
              </w:rPr>
            </w:pPr>
            <w:r w:rsidRPr="00C52405">
              <w:rPr>
                <w:b/>
              </w:rPr>
              <w:t>1xB</w:t>
            </w:r>
          </w:p>
        </w:tc>
        <w:tc>
          <w:tcPr>
            <w:tcW w:w="1559" w:type="dxa"/>
            <w:tcBorders>
              <w:top w:val="single" w:sz="12" w:space="0" w:color="auto"/>
              <w:bottom w:val="single" w:sz="12" w:space="0" w:color="auto"/>
            </w:tcBorders>
          </w:tcPr>
          <w:p w14:paraId="2CBD3668" w14:textId="596B8E33" w:rsidR="00233FEB" w:rsidRPr="00B22CE2" w:rsidRDefault="00233FEB" w:rsidP="00C13F13">
            <w:pPr>
              <w:jc w:val="center"/>
              <w:rPr>
                <w:b/>
              </w:rPr>
            </w:pPr>
          </w:p>
        </w:tc>
        <w:tc>
          <w:tcPr>
            <w:tcW w:w="1843" w:type="dxa"/>
            <w:tcBorders>
              <w:top w:val="single" w:sz="12" w:space="0" w:color="auto"/>
              <w:bottom w:val="single" w:sz="12" w:space="0" w:color="auto"/>
            </w:tcBorders>
          </w:tcPr>
          <w:p w14:paraId="71DD0CF1" w14:textId="0E7760F1" w:rsidR="00233FEB" w:rsidRPr="00B22CE2" w:rsidRDefault="00233FEB" w:rsidP="00C13F13">
            <w:pPr>
              <w:jc w:val="center"/>
              <w:rPr>
                <w:b/>
              </w:rPr>
            </w:pPr>
          </w:p>
        </w:tc>
        <w:tc>
          <w:tcPr>
            <w:tcW w:w="1276" w:type="dxa"/>
            <w:tcBorders>
              <w:top w:val="single" w:sz="12" w:space="0" w:color="auto"/>
              <w:bottom w:val="single" w:sz="12" w:space="0" w:color="auto"/>
            </w:tcBorders>
          </w:tcPr>
          <w:p w14:paraId="48467F99" w14:textId="4C880F6D" w:rsidR="00233FEB" w:rsidRPr="00B22CE2" w:rsidRDefault="00233FEB" w:rsidP="00C13F13">
            <w:pPr>
              <w:jc w:val="center"/>
              <w:rPr>
                <w:b/>
              </w:rPr>
            </w:pPr>
            <w:r>
              <w:rPr>
                <w:b/>
              </w:rPr>
              <w:t>4xB, 9xJ</w:t>
            </w:r>
          </w:p>
        </w:tc>
      </w:tr>
    </w:tbl>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28CA032C" w:rsidR="005A2287" w:rsidRPr="005A2287" w:rsidRDefault="007E286F" w:rsidP="005A2287">
      <w:pPr>
        <w:spacing w:before="60" w:line="276" w:lineRule="auto"/>
        <w:ind w:left="425" w:firstLine="1"/>
        <w:jc w:val="both"/>
        <w:rPr>
          <w:sz w:val="24"/>
          <w:szCs w:val="24"/>
        </w:rPr>
      </w:pPr>
      <w:r>
        <w:rPr>
          <w:sz w:val="24"/>
          <w:szCs w:val="24"/>
        </w:rPr>
        <w:t>Žádné nebyly.</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C13DFA7" w14:textId="4ADAA1B1" w:rsidR="00B61BC9" w:rsidRPr="00571C58" w:rsidRDefault="007E286F" w:rsidP="00507A02">
            <w:pPr>
              <w:pStyle w:val="Zkladntext"/>
              <w:spacing w:before="60" w:line="276" w:lineRule="auto"/>
              <w:jc w:val="both"/>
            </w:pPr>
            <w:r>
              <w:t>Žádné nebyly.</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sidRPr="003D2FAB">
        <w:rPr>
          <w:b/>
          <w:sz w:val="24"/>
          <w:szCs w:val="24"/>
        </w:rPr>
        <w:t>zhodnocení Průběžné zprávy o plnění dlouhodobé koncepce rozvoje výzkumné organizace na léta 2019 až 2023 za rok 2023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6FEC71C9" w:rsidR="0001252B" w:rsidRPr="00E93620" w:rsidRDefault="007920D9" w:rsidP="0001252B">
            <w:pPr>
              <w:pStyle w:val="Zkladntext"/>
              <w:spacing w:before="60" w:line="276" w:lineRule="auto"/>
              <w:jc w:val="center"/>
              <w:rPr>
                <w:b/>
                <w:sz w:val="28"/>
                <w:szCs w:val="28"/>
              </w:rPr>
            </w:pPr>
            <w:r>
              <w:rPr>
                <w:b/>
                <w:sz w:val="28"/>
                <w:szCs w:val="28"/>
              </w:rPr>
              <w:t>A</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133275">
            <w:pPr>
              <w:pStyle w:val="Zkladntext"/>
              <w:keepNext/>
              <w:spacing w:before="60" w:line="276" w:lineRule="auto"/>
              <w:ind w:left="238" w:hanging="238"/>
              <w:jc w:val="both"/>
              <w:rPr>
                <w:b/>
                <w:u w:val="single"/>
              </w:rPr>
            </w:pPr>
            <w:r w:rsidRPr="000A2EBE">
              <w:rPr>
                <w:b/>
                <w:u w:val="single"/>
              </w:rPr>
              <w:lastRenderedPageBreak/>
              <w:t>Odůvodnění</w:t>
            </w:r>
          </w:p>
          <w:p w14:paraId="02B041A8" w14:textId="77777777" w:rsidR="001E7C09" w:rsidRDefault="001E7C09" w:rsidP="00E93620">
            <w:pPr>
              <w:pStyle w:val="Zkladntext"/>
              <w:keepNext/>
              <w:spacing w:before="60" w:line="276" w:lineRule="auto"/>
              <w:jc w:val="both"/>
              <w:rPr>
                <w:b/>
              </w:rPr>
            </w:pPr>
          </w:p>
          <w:p w14:paraId="3A577CB4" w14:textId="7DFCC6FE" w:rsidR="001E7C09" w:rsidRPr="003D2FAB" w:rsidRDefault="001E7C09" w:rsidP="001E7C09">
            <w:pPr>
              <w:pStyle w:val="Zkladntext"/>
              <w:keepNext/>
              <w:spacing w:before="60" w:line="276" w:lineRule="auto"/>
              <w:jc w:val="both"/>
              <w:rPr>
                <w:b/>
              </w:rPr>
            </w:pPr>
            <w:r w:rsidRPr="003D2FAB">
              <w:rPr>
                <w:b/>
              </w:rPr>
              <w:t>Z </w:t>
            </w:r>
            <w:r w:rsidR="00866668" w:rsidRPr="003D2FAB">
              <w:rPr>
                <w:b/>
              </w:rPr>
              <w:t>7</w:t>
            </w:r>
            <w:r w:rsidRPr="003D2FAB">
              <w:rPr>
                <w:b/>
              </w:rPr>
              <w:t xml:space="preserve"> plánovaných aplikačních výsledků byl</w:t>
            </w:r>
            <w:r w:rsidR="00866668" w:rsidRPr="003D2FAB">
              <w:rPr>
                <w:b/>
              </w:rPr>
              <w:t>o</w:t>
            </w:r>
            <w:r w:rsidRPr="003D2FAB">
              <w:rPr>
                <w:b/>
              </w:rPr>
              <w:t xml:space="preserve"> uplatněn</w:t>
            </w:r>
            <w:r w:rsidR="00866668" w:rsidRPr="003D2FAB">
              <w:rPr>
                <w:b/>
              </w:rPr>
              <w:t>o</w:t>
            </w:r>
            <w:r w:rsidRPr="003D2FAB">
              <w:rPr>
                <w:b/>
              </w:rPr>
              <w:t xml:space="preserve"> </w:t>
            </w:r>
            <w:r w:rsidR="00866668" w:rsidRPr="003D2FAB">
              <w:rPr>
                <w:b/>
              </w:rPr>
              <w:t>7</w:t>
            </w:r>
            <w:r w:rsidRPr="003D2FAB">
              <w:rPr>
                <w:b/>
              </w:rPr>
              <w:t>, z</w:t>
            </w:r>
            <w:r w:rsidR="00866668" w:rsidRPr="003D2FAB">
              <w:rPr>
                <w:b/>
              </w:rPr>
              <w:t xml:space="preserve"> 8 </w:t>
            </w:r>
            <w:r w:rsidRPr="003D2FAB">
              <w:rPr>
                <w:b/>
              </w:rPr>
              <w:t xml:space="preserve">publikačních výsledků bylo uplatněno a schváleno </w:t>
            </w:r>
            <w:r w:rsidR="00866668" w:rsidRPr="003D2FAB">
              <w:rPr>
                <w:b/>
              </w:rPr>
              <w:t>8</w:t>
            </w:r>
            <w:r w:rsidRPr="003D2FAB">
              <w:rPr>
                <w:b/>
              </w:rPr>
              <w:t xml:space="preserve"> výsledků. Oproti r. 202</w:t>
            </w:r>
            <w:r w:rsidR="00866668" w:rsidRPr="003D2FAB">
              <w:rPr>
                <w:b/>
              </w:rPr>
              <w:t>2</w:t>
            </w:r>
            <w:r w:rsidRPr="003D2FAB">
              <w:rPr>
                <w:b/>
              </w:rPr>
              <w:t xml:space="preserve"> došlo v uplatnění výsledků k</w:t>
            </w:r>
            <w:r w:rsidR="00866668" w:rsidRPr="003D2FAB">
              <w:rPr>
                <w:b/>
              </w:rPr>
              <w:t>e zlepšení</w:t>
            </w:r>
            <w:r w:rsidRPr="003D2FAB">
              <w:rPr>
                <w:b/>
              </w:rPr>
              <w:t>.</w:t>
            </w:r>
            <w:r w:rsidR="00866668" w:rsidRPr="003D2FAB">
              <w:rPr>
                <w:b/>
              </w:rPr>
              <w:t xml:space="preserve"> </w:t>
            </w:r>
          </w:p>
          <w:p w14:paraId="4957CE25" w14:textId="393B9CC0" w:rsidR="001E7C09" w:rsidRPr="003D2FAB" w:rsidRDefault="001E7C09" w:rsidP="001E7C09">
            <w:pPr>
              <w:pStyle w:val="Zkladntext"/>
              <w:keepNext/>
              <w:spacing w:before="60" w:line="276" w:lineRule="auto"/>
              <w:jc w:val="both"/>
              <w:rPr>
                <w:b/>
              </w:rPr>
            </w:pPr>
            <w:r w:rsidRPr="003D2FAB">
              <w:rPr>
                <w:b/>
              </w:rPr>
              <w:t>Národní galerie v Praze (dále jen „NGP“) realizovala v roce 2022 vědecké aktivity v souladu s aktualizovanou Dlouhodobou koncepcí rozvoje výzkumné organizace NGP na léta 2019 až 2023 (dále jen „Koncepce“) jak po stránce finanční, tak i věcné. Vymezené dílčí cíle byly splněny</w:t>
            </w:r>
            <w:r w:rsidR="00C567FE" w:rsidRPr="003D2FAB">
              <w:rPr>
                <w:b/>
              </w:rPr>
              <w:t xml:space="preserve"> </w:t>
            </w:r>
            <w:r w:rsidR="00C567FE" w:rsidRPr="003D2FAB">
              <w:rPr>
                <w:rFonts w:eastAsia="Calibri"/>
                <w:b/>
              </w:rPr>
              <w:t>nebo částečně splněny, přičemž zdůvodnění částečného splnění některých dílčích cílů lze přijmout bez výhrad</w:t>
            </w:r>
            <w:r w:rsidRPr="003D2FAB">
              <w:rPr>
                <w:b/>
              </w:rPr>
              <w:t>.</w:t>
            </w:r>
            <w:r w:rsidR="00DB0196" w:rsidRPr="003D2FAB">
              <w:rPr>
                <w:b/>
              </w:rPr>
              <w:t xml:space="preserve"> Byly uplatněny všechny plánované </w:t>
            </w:r>
            <w:r w:rsidR="00AD5483" w:rsidRPr="003D2FAB">
              <w:rPr>
                <w:b/>
              </w:rPr>
              <w:t>výsledky,</w:t>
            </w:r>
            <w:r w:rsidR="009C2F6F" w:rsidRPr="003D2FAB">
              <w:rPr>
                <w:b/>
              </w:rPr>
              <w:t xml:space="preserve"> a navíc řada výsle</w:t>
            </w:r>
            <w:r w:rsidR="002E4FCC" w:rsidRPr="003D2FAB">
              <w:rPr>
                <w:b/>
              </w:rPr>
              <w:t>d</w:t>
            </w:r>
            <w:r w:rsidR="009C2F6F" w:rsidRPr="003D2FAB">
              <w:rPr>
                <w:b/>
              </w:rPr>
              <w:t>ků neplánovaných</w:t>
            </w:r>
            <w:r w:rsidR="002E4FCC" w:rsidRPr="003D2FAB">
              <w:rPr>
                <w:b/>
              </w:rPr>
              <w:t>.</w:t>
            </w:r>
            <w:r w:rsidRPr="003D2FAB">
              <w:rPr>
                <w:b/>
              </w:rPr>
              <w:t xml:space="preserve"> Došlo pouze k posunům či drobným změnám v názvech konkrétních výsledků oproti znění v původní Koncepci. </w:t>
            </w:r>
          </w:p>
          <w:p w14:paraId="488C4997" w14:textId="76336CE5" w:rsidR="001E7C09" w:rsidRPr="003D2FAB" w:rsidRDefault="001E7C09" w:rsidP="001E7C09">
            <w:pPr>
              <w:pStyle w:val="Zkladntext"/>
              <w:keepNext/>
              <w:spacing w:before="60" w:line="276" w:lineRule="auto"/>
              <w:jc w:val="both"/>
              <w:rPr>
                <w:b/>
              </w:rPr>
            </w:pPr>
            <w:r w:rsidRPr="003D2FAB">
              <w:rPr>
                <w:b/>
              </w:rPr>
              <w:t>Celkový cíl Koncepce při realizaci v roce 202</w:t>
            </w:r>
            <w:r w:rsidR="00866668" w:rsidRPr="003D2FAB">
              <w:rPr>
                <w:b/>
              </w:rPr>
              <w:t>3</w:t>
            </w:r>
            <w:r w:rsidRPr="003D2FAB">
              <w:rPr>
                <w:b/>
              </w:rPr>
              <w:t xml:space="preserve"> byl zachován v následujících bodech: pokračující modernizace a revitalizace expozic; systematický průzkum spravovaných uměleckých předmětů a archivních fondů a materiálové průzkumy prováděné neinvazivními metodami; podpora publikační činnosti a dalších průřezových statutárních a vědecko-výzkumných činností VO.</w:t>
            </w:r>
          </w:p>
          <w:p w14:paraId="48F01220" w14:textId="77777777" w:rsidR="001E7C09" w:rsidRPr="003D2FAB" w:rsidRDefault="001E7C09" w:rsidP="001E7C09">
            <w:pPr>
              <w:pStyle w:val="Zkladntext"/>
              <w:keepNext/>
              <w:spacing w:before="60" w:line="276" w:lineRule="auto"/>
              <w:jc w:val="both"/>
              <w:rPr>
                <w:b/>
              </w:rPr>
            </w:pPr>
            <w:r w:rsidRPr="003D2FAB">
              <w:rPr>
                <w:b/>
              </w:rPr>
              <w:t>NGP si v segmentu příspěvkových organizací dlouhodobě udržuje přední pozici v mezinárodní spolupráci, kterou se snaží nejen udržet, ale také dále prostřednictvím mezinárodních vědeckých a výstavních projektů systematicky rozvíjet. NGP na národní úrovni spolupracuje s celou řadou akademických ústavů a univerzitních pracovišť jak humanitního, tak přírodovědného zaměření.</w:t>
            </w:r>
          </w:p>
          <w:p w14:paraId="5FB083DB" w14:textId="142F40A3" w:rsidR="00730BEB" w:rsidRPr="003D2FAB" w:rsidRDefault="00730BEB" w:rsidP="001E7C09">
            <w:pPr>
              <w:pStyle w:val="Zkladntext"/>
              <w:keepNext/>
              <w:spacing w:before="60" w:line="276" w:lineRule="auto"/>
              <w:jc w:val="both"/>
              <w:rPr>
                <w:b/>
              </w:rPr>
            </w:pPr>
            <w:r w:rsidRPr="003D2FAB">
              <w:rPr>
                <w:b/>
              </w:rPr>
              <w:t>Plnění dílčích a kontrolovatelných cílů je hodnoceno</w:t>
            </w:r>
            <w:r w:rsidR="006103AF" w:rsidRPr="003D2FAB">
              <w:rPr>
                <w:b/>
              </w:rPr>
              <w:t xml:space="preserve"> jako vynikající, především </w:t>
            </w:r>
            <w:r w:rsidR="00FB1AB7" w:rsidRPr="003D2FAB">
              <w:rPr>
                <w:b/>
              </w:rPr>
              <w:t xml:space="preserve">s ohledem na vynikající plnění </w:t>
            </w:r>
            <w:r w:rsidR="00116CAC" w:rsidRPr="003D2FAB">
              <w:rPr>
                <w:b/>
              </w:rPr>
              <w:t xml:space="preserve">plánovaných </w:t>
            </w:r>
            <w:r w:rsidR="00283B58" w:rsidRPr="003D2FAB">
              <w:rPr>
                <w:b/>
              </w:rPr>
              <w:t>výsledků</w:t>
            </w:r>
            <w:r w:rsidR="00116CAC" w:rsidRPr="003D2FAB">
              <w:rPr>
                <w:b/>
              </w:rPr>
              <w:t xml:space="preserve"> a uplatnění řady hodnotných výsle</w:t>
            </w:r>
            <w:r w:rsidR="00926A4B" w:rsidRPr="003D2FAB">
              <w:rPr>
                <w:b/>
              </w:rPr>
              <w:t>d</w:t>
            </w:r>
            <w:r w:rsidR="00116CAC" w:rsidRPr="003D2FAB">
              <w:rPr>
                <w:b/>
              </w:rPr>
              <w:t>ků neplánovaných.</w:t>
            </w:r>
            <w:r w:rsidR="006103AF" w:rsidRPr="003D2FAB">
              <w:rPr>
                <w:b/>
              </w:rPr>
              <w:t xml:space="preserve"> </w:t>
            </w:r>
            <w:r w:rsidRPr="003D2FAB">
              <w:rPr>
                <w:b/>
              </w:rPr>
              <w:t xml:space="preserve"> </w:t>
            </w:r>
          </w:p>
          <w:p w14:paraId="23DD654F" w14:textId="57B32A04" w:rsidR="001E7C09" w:rsidRPr="00437AC0" w:rsidRDefault="001E7C09" w:rsidP="001E7C09">
            <w:pPr>
              <w:pStyle w:val="Zkladntext"/>
              <w:keepNext/>
              <w:spacing w:before="60" w:line="276" w:lineRule="auto"/>
              <w:jc w:val="both"/>
              <w:rPr>
                <w:b/>
              </w:rPr>
            </w:pPr>
            <w:r w:rsidRPr="003D2FAB">
              <w:rPr>
                <w:b/>
              </w:rPr>
              <w:t>Vzhledem k hodnocení VO podle jednotlivých kritérií je plnění koncepce za rok 202</w:t>
            </w:r>
            <w:r w:rsidR="00866668" w:rsidRPr="003D2FAB">
              <w:rPr>
                <w:b/>
              </w:rPr>
              <w:t>3</w:t>
            </w:r>
            <w:r w:rsidRPr="003D2FAB">
              <w:rPr>
                <w:b/>
              </w:rPr>
              <w:t xml:space="preserve"> hodnoceno jako </w:t>
            </w:r>
            <w:r w:rsidR="00866668" w:rsidRPr="003D2FAB">
              <w:rPr>
                <w:b/>
              </w:rPr>
              <w:t>A</w:t>
            </w:r>
            <w:r w:rsidR="00866668" w:rsidRPr="003D2FAB">
              <w:t xml:space="preserve"> – </w:t>
            </w:r>
            <w:r w:rsidR="00866668" w:rsidRPr="003D2FAB">
              <w:rPr>
                <w:b/>
              </w:rPr>
              <w:t>vynikající</w:t>
            </w:r>
            <w:r w:rsidR="00866668" w:rsidRPr="003D2FAB">
              <w:t xml:space="preserve"> </w:t>
            </w:r>
            <w:r w:rsidR="00866668" w:rsidRPr="003D2FAB">
              <w:rPr>
                <w:b/>
              </w:rPr>
              <w:t>plnění koncepce</w:t>
            </w:r>
            <w:r w:rsidRPr="003D2FAB">
              <w:rPr>
                <w:b/>
              </w:rPr>
              <w:t xml:space="preserve">. NGP </w:t>
            </w:r>
            <w:r w:rsidR="00866668" w:rsidRPr="003D2FAB">
              <w:rPr>
                <w:b/>
              </w:rPr>
              <w:t xml:space="preserve">se </w:t>
            </w:r>
            <w:r w:rsidRPr="003D2FAB">
              <w:rPr>
                <w:b/>
              </w:rPr>
              <w:t>stále řadí mezi nejlépe hodnocené VO svého sektoru.</w:t>
            </w:r>
            <w:r w:rsidR="00866668" w:rsidRPr="003D2FAB">
              <w:rPr>
                <w:b/>
              </w:rPr>
              <w:t xml:space="preserve"> </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164DF234"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5330973D" w14:textId="0A26E152" w:rsidR="00461BC1" w:rsidRPr="007C404C" w:rsidRDefault="00461BC1" w:rsidP="00461BC1">
      <w:pPr>
        <w:autoSpaceDE w:val="0"/>
        <w:autoSpaceDN w:val="0"/>
        <w:adjustRightInd w:val="0"/>
        <w:spacing w:before="60" w:line="276" w:lineRule="auto"/>
        <w:ind w:left="426"/>
        <w:jc w:val="both"/>
        <w:rPr>
          <w:b/>
          <w:sz w:val="24"/>
          <w:szCs w:val="24"/>
        </w:rPr>
      </w:pPr>
      <w:r w:rsidRPr="00E7031C">
        <w:rPr>
          <w:b/>
          <w:sz w:val="24"/>
          <w:szCs w:val="24"/>
        </w:rPr>
        <w:t>Žádné nebyly.</w:t>
      </w:r>
    </w:p>
    <w:p w14:paraId="15123AED" w14:textId="77777777" w:rsidR="00EF04EC" w:rsidRPr="00426DF9" w:rsidRDefault="00EF04EC" w:rsidP="00461BC1">
      <w:pPr>
        <w:autoSpaceDE w:val="0"/>
        <w:autoSpaceDN w:val="0"/>
        <w:adjustRightInd w:val="0"/>
        <w:spacing w:before="60" w:line="276" w:lineRule="auto"/>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w:t>
      </w:r>
      <w:r w:rsidR="00EF04EC">
        <w:rPr>
          <w:sz w:val="24"/>
          <w:szCs w:val="24"/>
        </w:rPr>
        <w:lastRenderedPageBreak/>
        <w:t xml:space="preserve">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508D33BC" w14:textId="5FA3E865" w:rsidR="00FB027B" w:rsidRPr="00FB027B" w:rsidRDefault="00FB027B" w:rsidP="0053601F">
            <w:pPr>
              <w:spacing w:before="60" w:line="276" w:lineRule="auto"/>
              <w:jc w:val="both"/>
              <w:rPr>
                <w:rFonts w:eastAsia="Calibri"/>
                <w:sz w:val="24"/>
                <w:szCs w:val="24"/>
              </w:rPr>
            </w:pPr>
            <w:r w:rsidRPr="00FB027B">
              <w:rPr>
                <w:rFonts w:eastAsia="Calibri"/>
                <w:sz w:val="24"/>
                <w:szCs w:val="24"/>
              </w:rPr>
              <w:t>Celkový cíl koncepce při realizaci v letech 2019 až 2023 byl plně zachován a realizován zejména se</w:t>
            </w:r>
            <w:r>
              <w:rPr>
                <w:rFonts w:eastAsia="Calibri"/>
                <w:sz w:val="24"/>
                <w:szCs w:val="24"/>
              </w:rPr>
              <w:t xml:space="preserve"> </w:t>
            </w:r>
            <w:r w:rsidRPr="00FB027B">
              <w:rPr>
                <w:rFonts w:eastAsia="Calibri"/>
                <w:sz w:val="24"/>
                <w:szCs w:val="24"/>
              </w:rPr>
              <w:t>zaměřením na:</w:t>
            </w:r>
          </w:p>
          <w:p w14:paraId="54068F62" w14:textId="77777777" w:rsidR="00FB027B" w:rsidRPr="00FB027B" w:rsidRDefault="00FB027B" w:rsidP="0053601F">
            <w:pPr>
              <w:spacing w:before="60" w:line="276" w:lineRule="auto"/>
              <w:jc w:val="both"/>
              <w:rPr>
                <w:rFonts w:eastAsia="Calibri"/>
                <w:sz w:val="24"/>
                <w:szCs w:val="24"/>
              </w:rPr>
            </w:pPr>
            <w:r w:rsidRPr="00FB027B">
              <w:rPr>
                <w:rFonts w:eastAsia="Calibri"/>
                <w:sz w:val="24"/>
                <w:szCs w:val="24"/>
              </w:rPr>
              <w:t>- Průzkum spravovaných předmětů (VObl. 1, VObl. 2, VObl. 3, VObl. 4, VObl. 5)</w:t>
            </w:r>
          </w:p>
          <w:p w14:paraId="1AB78582" w14:textId="77777777" w:rsidR="00FB027B" w:rsidRPr="00FB027B" w:rsidRDefault="00FB027B" w:rsidP="0053601F">
            <w:pPr>
              <w:spacing w:before="60" w:line="276" w:lineRule="auto"/>
              <w:jc w:val="both"/>
              <w:rPr>
                <w:rFonts w:eastAsia="Calibri"/>
                <w:sz w:val="24"/>
                <w:szCs w:val="24"/>
              </w:rPr>
            </w:pPr>
            <w:r w:rsidRPr="00FB027B">
              <w:rPr>
                <w:rFonts w:eastAsia="Calibri"/>
                <w:sz w:val="24"/>
                <w:szCs w:val="24"/>
              </w:rPr>
              <w:t>- Mapování a prezentace velkých osobností a témat českého umění (VObl. 2, VObl. 3, VObl. 4)</w:t>
            </w:r>
          </w:p>
          <w:p w14:paraId="0D899D14" w14:textId="77777777" w:rsidR="00FB027B" w:rsidRPr="00FB027B" w:rsidRDefault="00FB027B" w:rsidP="0053601F">
            <w:pPr>
              <w:spacing w:before="60" w:line="276" w:lineRule="auto"/>
              <w:jc w:val="both"/>
              <w:rPr>
                <w:rFonts w:eastAsia="Calibri"/>
                <w:sz w:val="24"/>
                <w:szCs w:val="24"/>
              </w:rPr>
            </w:pPr>
            <w:r w:rsidRPr="00FB027B">
              <w:rPr>
                <w:rFonts w:eastAsia="Calibri"/>
                <w:sz w:val="24"/>
                <w:szCs w:val="24"/>
              </w:rPr>
              <w:t>- Materiálové průzkumy prováděné neinvazivními metodami (VObl. 6)</w:t>
            </w:r>
          </w:p>
          <w:p w14:paraId="735BBB5D" w14:textId="77777777" w:rsidR="00FB027B" w:rsidRPr="00FB027B" w:rsidRDefault="00FB027B" w:rsidP="0053601F">
            <w:pPr>
              <w:spacing w:before="60" w:line="276" w:lineRule="auto"/>
              <w:jc w:val="both"/>
              <w:rPr>
                <w:rFonts w:eastAsia="Calibri"/>
                <w:sz w:val="24"/>
                <w:szCs w:val="24"/>
              </w:rPr>
            </w:pPr>
            <w:r w:rsidRPr="00FB027B">
              <w:rPr>
                <w:rFonts w:eastAsia="Calibri"/>
                <w:sz w:val="24"/>
                <w:szCs w:val="24"/>
              </w:rPr>
              <w:t>- Průzkumy a zpřístupňování archivních fondů (VObl. 7)</w:t>
            </w:r>
          </w:p>
          <w:p w14:paraId="05567487" w14:textId="3B134C86" w:rsidR="00F51402" w:rsidRDefault="00FB027B" w:rsidP="00FB027B">
            <w:pPr>
              <w:autoSpaceDE w:val="0"/>
              <w:autoSpaceDN w:val="0"/>
              <w:adjustRightInd w:val="0"/>
              <w:spacing w:before="60" w:line="276" w:lineRule="auto"/>
              <w:jc w:val="both"/>
              <w:rPr>
                <w:rFonts w:eastAsia="Calibri"/>
                <w:sz w:val="24"/>
                <w:szCs w:val="24"/>
              </w:rPr>
            </w:pPr>
            <w:r w:rsidRPr="00FB027B">
              <w:rPr>
                <w:rFonts w:eastAsia="Calibri"/>
                <w:sz w:val="24"/>
                <w:szCs w:val="24"/>
              </w:rPr>
              <w:t>- Podporu prezentací vědecké a publikační činnosti zaměstnanců NGP (VObl. 8)</w:t>
            </w:r>
            <w:r>
              <w:rPr>
                <w:rFonts w:eastAsia="Calibri"/>
                <w:sz w:val="24"/>
                <w:szCs w:val="24"/>
              </w:rPr>
              <w:t>.</w:t>
            </w:r>
          </w:p>
          <w:p w14:paraId="4B279272" w14:textId="5C722CBF" w:rsidR="00692461" w:rsidRDefault="00F21D50" w:rsidP="001B63A8">
            <w:pPr>
              <w:autoSpaceDE w:val="0"/>
              <w:autoSpaceDN w:val="0"/>
              <w:adjustRightInd w:val="0"/>
              <w:spacing w:before="60" w:line="276" w:lineRule="auto"/>
              <w:jc w:val="both"/>
              <w:rPr>
                <w:rFonts w:eastAsia="Calibri"/>
                <w:sz w:val="24"/>
                <w:szCs w:val="24"/>
              </w:rPr>
            </w:pPr>
            <w:r w:rsidRPr="00CB2BCD">
              <w:rPr>
                <w:rFonts w:eastAsia="Calibri"/>
                <w:sz w:val="24"/>
                <w:szCs w:val="24"/>
              </w:rPr>
              <w:t>Z hlediska naplňování vizí rozvoje výzkumu NGP naplnila ambici rozvoje přední respektované instituce spravující jednu z největších sbírek výtvarných uměleckých předmětů. Základní a aplikovaný výzkum jsou v NGP dlouhodobě zaměřeny na průzkum vlastních sbírek</w:t>
            </w:r>
            <w:r w:rsidR="001B63A8">
              <w:rPr>
                <w:rFonts w:eastAsia="Calibri"/>
                <w:sz w:val="24"/>
                <w:szCs w:val="24"/>
              </w:rPr>
              <w:t xml:space="preserve"> </w:t>
            </w:r>
            <w:r w:rsidRPr="00CB2BCD">
              <w:rPr>
                <w:rFonts w:eastAsia="Calibri"/>
                <w:sz w:val="24"/>
                <w:szCs w:val="24"/>
              </w:rPr>
              <w:t>uměleckých předmětů a významných fenoménů dějin českého umění v mezinárodním kontextu, spojené se spravovanými sbírkami. Jedná se zejména o významné osobnosti, období či regionální souvislosti. Kurátoři všech sbírek se odborně věnují péči o sbírkový fond, ověřují autorská určení a na základě badatelských zkoumání přispívají novými atribucemi ke zhodnocení této nejvýznamnější umělecké sbírky České republiky. NGP se snažila pružně reagovat na aktuální výzvy současného světa, především na důsledky pandemie, hrozby a nebezpečí nastalé energetické krize, války na Ukrajině. Uplynulé pětileté období bylo pro NGP ale také obtížné z hlediska několika změn ve vrcholovém managementu instituce a změn ve struktuře organizace. K významným činnostem výzkumné organizace za uplynulé pětileté období lze zařadit v</w:t>
            </w:r>
            <w:r w:rsidR="00BE334E">
              <w:rPr>
                <w:rFonts w:eastAsia="Calibri"/>
                <w:sz w:val="24"/>
                <w:szCs w:val="24"/>
              </w:rPr>
              <w:t> </w:t>
            </w:r>
            <w:r w:rsidRPr="00CB2BCD">
              <w:rPr>
                <w:rFonts w:eastAsia="Calibri"/>
                <w:sz w:val="24"/>
                <w:szCs w:val="24"/>
              </w:rPr>
              <w:t>souladu</w:t>
            </w:r>
            <w:r w:rsidR="00BE334E">
              <w:rPr>
                <w:rFonts w:eastAsia="Calibri"/>
                <w:sz w:val="24"/>
                <w:szCs w:val="24"/>
              </w:rPr>
              <w:t xml:space="preserve"> </w:t>
            </w:r>
            <w:r w:rsidRPr="00CB2BCD">
              <w:rPr>
                <w:rFonts w:eastAsia="Calibri"/>
                <w:sz w:val="24"/>
                <w:szCs w:val="24"/>
              </w:rPr>
              <w:t xml:space="preserve">s prioritou rozvoje NGP revitalizaci dlouhodobých expozic. V letech 2019 až 2023 došlo k otevření nových nebo revitalizovaných šesti stálých expozic – </w:t>
            </w:r>
            <w:r w:rsidRPr="00CB2BCD">
              <w:rPr>
                <w:rFonts w:eastAsia="Calibri"/>
                <w:b/>
                <w:bCs/>
                <w:i/>
                <w:iCs/>
                <w:sz w:val="24"/>
                <w:szCs w:val="24"/>
              </w:rPr>
              <w:t>Staří mistři I, Staří mistři II</w:t>
            </w:r>
            <w:r w:rsidRPr="00CB2BCD">
              <w:rPr>
                <w:rFonts w:eastAsia="Calibri"/>
                <w:b/>
                <w:bCs/>
                <w:sz w:val="24"/>
                <w:szCs w:val="24"/>
              </w:rPr>
              <w:t xml:space="preserve">, </w:t>
            </w:r>
            <w:r w:rsidRPr="00CB2BCD">
              <w:rPr>
                <w:rFonts w:eastAsia="Calibri"/>
                <w:b/>
                <w:bCs/>
                <w:i/>
                <w:iCs/>
                <w:sz w:val="24"/>
                <w:szCs w:val="24"/>
              </w:rPr>
              <w:t>1918–1938. První republika</w:t>
            </w:r>
            <w:r w:rsidRPr="00CB2BCD">
              <w:rPr>
                <w:rFonts w:eastAsia="Calibri"/>
                <w:b/>
                <w:bCs/>
                <w:sz w:val="24"/>
                <w:szCs w:val="24"/>
              </w:rPr>
              <w:t xml:space="preserve">, </w:t>
            </w:r>
            <w:r w:rsidRPr="00CB2BCD">
              <w:rPr>
                <w:rFonts w:eastAsia="Calibri"/>
                <w:b/>
                <w:bCs/>
                <w:i/>
                <w:iCs/>
                <w:sz w:val="24"/>
                <w:szCs w:val="24"/>
              </w:rPr>
              <w:t>Expozice 1796–1918. Umění dlouhého století, 1956–1989.</w:t>
            </w:r>
            <w:r w:rsidR="00BE334E">
              <w:rPr>
                <w:rFonts w:eastAsia="Calibri"/>
                <w:b/>
                <w:bCs/>
                <w:i/>
                <w:iCs/>
                <w:sz w:val="24"/>
                <w:szCs w:val="24"/>
              </w:rPr>
              <w:t xml:space="preserve"> </w:t>
            </w:r>
            <w:r w:rsidRPr="00CB2BCD">
              <w:rPr>
                <w:rFonts w:eastAsia="Calibri"/>
                <w:b/>
                <w:bCs/>
                <w:i/>
                <w:iCs/>
                <w:sz w:val="24"/>
                <w:szCs w:val="24"/>
              </w:rPr>
              <w:t xml:space="preserve">Architektura všem </w:t>
            </w:r>
            <w:r w:rsidRPr="00CB2BCD">
              <w:rPr>
                <w:rFonts w:eastAsia="Calibri"/>
                <w:b/>
                <w:bCs/>
                <w:sz w:val="24"/>
                <w:szCs w:val="24"/>
              </w:rPr>
              <w:t xml:space="preserve">a </w:t>
            </w:r>
            <w:r w:rsidRPr="00CB2BCD">
              <w:rPr>
                <w:rFonts w:eastAsia="Calibri"/>
                <w:b/>
                <w:bCs/>
                <w:i/>
                <w:iCs/>
                <w:sz w:val="24"/>
                <w:szCs w:val="24"/>
              </w:rPr>
              <w:t>1939–2021. Konec černobílé doby</w:t>
            </w:r>
            <w:r w:rsidRPr="00CB2BCD">
              <w:rPr>
                <w:rFonts w:eastAsia="Calibri"/>
                <w:sz w:val="24"/>
                <w:szCs w:val="24"/>
              </w:rPr>
              <w:t>. Otevření další stálé expozice asijského umění se připravuje na rok 2024.</w:t>
            </w:r>
            <w:r w:rsidR="00BE334E">
              <w:rPr>
                <w:rFonts w:eastAsia="Calibri"/>
                <w:sz w:val="24"/>
                <w:szCs w:val="24"/>
              </w:rPr>
              <w:t xml:space="preserve"> </w:t>
            </w:r>
            <w:r w:rsidR="00BE334E" w:rsidRPr="00BE334E">
              <w:rPr>
                <w:rFonts w:eastAsia="Calibri"/>
                <w:sz w:val="24"/>
                <w:szCs w:val="24"/>
              </w:rPr>
              <w:t>V letech 2019 až 2023 NGP dostála</w:t>
            </w:r>
            <w:r w:rsidR="00BE334E">
              <w:rPr>
                <w:rFonts w:eastAsia="Calibri"/>
                <w:sz w:val="24"/>
                <w:szCs w:val="24"/>
              </w:rPr>
              <w:t xml:space="preserve"> u</w:t>
            </w:r>
            <w:r w:rsidR="00BE334E" w:rsidRPr="00BE334E">
              <w:rPr>
                <w:rFonts w:eastAsia="Calibri"/>
                <w:sz w:val="24"/>
                <w:szCs w:val="24"/>
              </w:rPr>
              <w:t>platnění a splnění všech naplánovaných 64 výsledků a podařilo se</w:t>
            </w:r>
            <w:r w:rsidR="00BE334E">
              <w:rPr>
                <w:rFonts w:eastAsia="Calibri"/>
                <w:sz w:val="24"/>
                <w:szCs w:val="24"/>
              </w:rPr>
              <w:t xml:space="preserve"> </w:t>
            </w:r>
            <w:r w:rsidR="00BE334E" w:rsidRPr="00BE334E">
              <w:rPr>
                <w:rFonts w:eastAsia="Calibri"/>
                <w:sz w:val="24"/>
                <w:szCs w:val="24"/>
              </w:rPr>
              <w:t>splnit navíc 73 výsledků s dedikací IP DKRVO.</w:t>
            </w:r>
          </w:p>
          <w:p w14:paraId="7AC965C9" w14:textId="77777777" w:rsidR="00C01B75" w:rsidRDefault="00C01B75" w:rsidP="001B63A8">
            <w:pPr>
              <w:autoSpaceDE w:val="0"/>
              <w:autoSpaceDN w:val="0"/>
              <w:adjustRightInd w:val="0"/>
              <w:spacing w:before="60" w:line="276" w:lineRule="auto"/>
              <w:jc w:val="both"/>
              <w:rPr>
                <w:rFonts w:eastAsia="Calibri"/>
                <w:sz w:val="24"/>
                <w:szCs w:val="24"/>
              </w:rPr>
            </w:pPr>
          </w:p>
          <w:p w14:paraId="0420C34E" w14:textId="7725A8CB" w:rsidR="00C84508" w:rsidRDefault="00C01B75" w:rsidP="001B63A8">
            <w:pPr>
              <w:autoSpaceDE w:val="0"/>
              <w:autoSpaceDN w:val="0"/>
              <w:adjustRightInd w:val="0"/>
              <w:spacing w:before="60" w:line="276" w:lineRule="auto"/>
              <w:jc w:val="both"/>
              <w:rPr>
                <w:rFonts w:eastAsia="Calibri"/>
                <w:b/>
                <w:bCs/>
                <w:sz w:val="24"/>
                <w:szCs w:val="24"/>
              </w:rPr>
            </w:pPr>
            <w:r w:rsidRPr="00C01B75">
              <w:rPr>
                <w:rFonts w:eastAsia="Calibri"/>
                <w:b/>
                <w:bCs/>
                <w:sz w:val="24"/>
                <w:szCs w:val="24"/>
              </w:rPr>
              <w:t>Naplňování dílčích cílů dle oblastí:</w:t>
            </w:r>
          </w:p>
          <w:p w14:paraId="793CF4C5"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Pr>
                <w:rFonts w:eastAsia="Calibri"/>
                <w:b/>
                <w:bCs/>
                <w:sz w:val="24"/>
                <w:szCs w:val="24"/>
              </w:rPr>
              <w:t xml:space="preserve"> oblasti</w:t>
            </w:r>
            <w:r w:rsidRPr="007E286F">
              <w:rPr>
                <w:rFonts w:eastAsia="Calibri"/>
                <w:b/>
                <w:bCs/>
                <w:sz w:val="24"/>
                <w:szCs w:val="24"/>
              </w:rPr>
              <w:t xml:space="preserve"> č. 1 – Staré umění</w:t>
            </w:r>
          </w:p>
          <w:p w14:paraId="328713F7"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lastRenderedPageBreak/>
              <w:t>1. (D) Konvolut deskové malby bohemikálního původu ve sbírkách NGP (2021–2023)</w:t>
            </w:r>
          </w:p>
          <w:p w14:paraId="0315C1E0" w14:textId="21ED8E0D" w:rsidR="00767066" w:rsidRPr="007E286F" w:rsidRDefault="00BC667A" w:rsidP="00767066">
            <w:pPr>
              <w:autoSpaceDE w:val="0"/>
              <w:autoSpaceDN w:val="0"/>
              <w:adjustRightInd w:val="0"/>
              <w:spacing w:before="60" w:line="276" w:lineRule="auto"/>
              <w:jc w:val="both"/>
              <w:rPr>
                <w:rFonts w:eastAsia="Calibri"/>
                <w:sz w:val="24"/>
                <w:szCs w:val="24"/>
              </w:rPr>
            </w:pPr>
            <w:r>
              <w:rPr>
                <w:rFonts w:eastAsia="Calibri"/>
                <w:sz w:val="24"/>
                <w:szCs w:val="24"/>
              </w:rPr>
              <w:t xml:space="preserve">Dílčí cíl byl částečně splněn podle původního plánu. </w:t>
            </w:r>
            <w:r w:rsidR="00767066" w:rsidRPr="007E286F">
              <w:rPr>
                <w:rFonts w:eastAsia="Calibri"/>
                <w:sz w:val="24"/>
                <w:szCs w:val="24"/>
              </w:rPr>
              <w:t>Vzhledem k vážné dlouhodobé nemoci odpovědné kurátorky a celkově z kapacitních důvodů nebyl Konvolut ani databáze vydána podle původního záměru, ale i přes závažnost situace probíhaly práce na uměleckohistorickém zpracování, archivní rešerše, rešerše potřeb návazného restaurátorského a laboratorního průzkumu a fotodokumentace. Plánovaný výstup S na rok 2023 byl nahrazen jiným titulem.</w:t>
            </w:r>
          </w:p>
          <w:p w14:paraId="74BB6B5D"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2. (E) Konvolut francouzského umění 16. až 18. století ve sbírkách NGP (2021–2023)</w:t>
            </w:r>
          </w:p>
          <w:p w14:paraId="5512C972" w14:textId="77777777" w:rsidR="00767066" w:rsidRPr="007E286F" w:rsidRDefault="00767066" w:rsidP="00767066">
            <w:pPr>
              <w:autoSpaceDE w:val="0"/>
              <w:autoSpaceDN w:val="0"/>
              <w:adjustRightInd w:val="0"/>
              <w:spacing w:before="60" w:line="276" w:lineRule="auto"/>
              <w:jc w:val="both"/>
              <w:rPr>
                <w:rFonts w:eastAsia="Calibri"/>
                <w:sz w:val="24"/>
                <w:szCs w:val="24"/>
              </w:rPr>
            </w:pPr>
            <w:r w:rsidRPr="007E286F">
              <w:rPr>
                <w:rFonts w:eastAsia="Calibri"/>
                <w:sz w:val="24"/>
                <w:szCs w:val="24"/>
              </w:rPr>
              <w:t>Dílčí cíl splněn. Byla dokončena finální část zpracování konvolutu dle harmonogramu. Editorka</w:t>
            </w:r>
            <w:r>
              <w:rPr>
                <w:rFonts w:eastAsia="Calibri"/>
                <w:sz w:val="24"/>
                <w:szCs w:val="24"/>
              </w:rPr>
              <w:t xml:space="preserve"> </w:t>
            </w:r>
            <w:r w:rsidRPr="007E286F">
              <w:rPr>
                <w:rFonts w:eastAsia="Calibri"/>
                <w:sz w:val="24"/>
                <w:szCs w:val="24"/>
              </w:rPr>
              <w:t>zpracovávala realizované archivní, uměleckohistorické a restaurátorsko-chemické průzkumy děl.</w:t>
            </w:r>
            <w:r>
              <w:rPr>
                <w:rFonts w:eastAsia="Calibri"/>
                <w:sz w:val="24"/>
                <w:szCs w:val="24"/>
              </w:rPr>
              <w:t xml:space="preserve"> </w:t>
            </w:r>
            <w:r w:rsidRPr="007E286F">
              <w:rPr>
                <w:rFonts w:eastAsia="Calibri"/>
                <w:sz w:val="24"/>
                <w:szCs w:val="24"/>
              </w:rPr>
              <w:t>Dále pokračovala fotodokumentace předmětných děl a řada odborných konzultací s</w:t>
            </w:r>
            <w:r>
              <w:rPr>
                <w:rFonts w:eastAsia="Calibri"/>
                <w:sz w:val="24"/>
                <w:szCs w:val="24"/>
              </w:rPr>
              <w:t> </w:t>
            </w:r>
            <w:r w:rsidRPr="007E286F">
              <w:rPr>
                <w:rFonts w:eastAsia="Calibri"/>
                <w:sz w:val="24"/>
                <w:szCs w:val="24"/>
              </w:rPr>
              <w:t>francouzskými</w:t>
            </w:r>
            <w:r>
              <w:rPr>
                <w:rFonts w:eastAsia="Calibri"/>
                <w:sz w:val="24"/>
                <w:szCs w:val="24"/>
              </w:rPr>
              <w:t xml:space="preserve"> </w:t>
            </w:r>
            <w:r w:rsidRPr="007E286F">
              <w:rPr>
                <w:rFonts w:eastAsia="Calibri"/>
                <w:sz w:val="24"/>
                <w:szCs w:val="24"/>
              </w:rPr>
              <w:t>historiky umění apod. Podle plánu byl publikován výsledek typu B a výsledek typu S (online databáze).</w:t>
            </w:r>
          </w:p>
          <w:p w14:paraId="4CC6F228"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Pr>
                <w:rFonts w:eastAsia="Calibri"/>
                <w:b/>
                <w:bCs/>
                <w:sz w:val="24"/>
                <w:szCs w:val="24"/>
              </w:rPr>
              <w:t xml:space="preserve"> oblasti</w:t>
            </w:r>
            <w:r w:rsidRPr="007E286F">
              <w:rPr>
                <w:rFonts w:eastAsia="Calibri"/>
                <w:b/>
                <w:bCs/>
                <w:sz w:val="24"/>
                <w:szCs w:val="24"/>
              </w:rPr>
              <w:t xml:space="preserve"> č. 2 – Umění 19. století a klasické moderny</w:t>
            </w:r>
          </w:p>
          <w:p w14:paraId="0744B6E9"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Zpracování velkých osobností a témat českého umění od 19. do 21. století</w:t>
            </w:r>
          </w:p>
          <w:p w14:paraId="7229BBF8"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 mezinárodním kontextu (2019–2023)</w:t>
            </w:r>
          </w:p>
          <w:p w14:paraId="461D0331" w14:textId="77777777" w:rsidR="00767066" w:rsidRPr="007E286F" w:rsidRDefault="00767066" w:rsidP="00767066">
            <w:pPr>
              <w:autoSpaceDE w:val="0"/>
              <w:autoSpaceDN w:val="0"/>
              <w:adjustRightInd w:val="0"/>
              <w:spacing w:before="60" w:line="276" w:lineRule="auto"/>
              <w:jc w:val="both"/>
              <w:rPr>
                <w:rFonts w:eastAsia="Calibri"/>
                <w:sz w:val="24"/>
                <w:szCs w:val="24"/>
              </w:rPr>
            </w:pPr>
            <w:r w:rsidRPr="007E286F">
              <w:rPr>
                <w:rFonts w:eastAsia="Calibri"/>
                <w:sz w:val="24"/>
                <w:szCs w:val="24"/>
              </w:rPr>
              <w:t xml:space="preserve">Proběhla realizace výstavy s kritickým katalogem </w:t>
            </w:r>
            <w:r w:rsidRPr="007E286F">
              <w:rPr>
                <w:rFonts w:eastAsia="Calibri"/>
                <w:i/>
                <w:iCs/>
                <w:sz w:val="24"/>
                <w:szCs w:val="24"/>
              </w:rPr>
              <w:t>Josef Mánes. Člověk – umělec – legenda</w:t>
            </w:r>
            <w:r w:rsidRPr="007E286F">
              <w:rPr>
                <w:rFonts w:eastAsia="Calibri"/>
                <w:sz w:val="24"/>
                <w:szCs w:val="24"/>
              </w:rPr>
              <w:t>.</w:t>
            </w:r>
            <w:r>
              <w:rPr>
                <w:rFonts w:eastAsia="Calibri"/>
                <w:sz w:val="24"/>
                <w:szCs w:val="24"/>
              </w:rPr>
              <w:t xml:space="preserve"> </w:t>
            </w:r>
            <w:r w:rsidRPr="007E286F">
              <w:rPr>
                <w:rFonts w:eastAsia="Calibri"/>
                <w:sz w:val="24"/>
                <w:szCs w:val="24"/>
              </w:rPr>
              <w:t>Vzhledem ke změně výstavního plánu byla realizace výstavy přesunuta z roku 2022 na rok 2023 (v původně plánovaném termínu se nakonec rozhodl prostor Valdštejnské jízdárny využít k vlastnímu výstavnímu projektu majitel – Senát ČR). Byla publikována plánována studie a VO připravila ke stému výročí státního nákupu francouzského umění mezinárodní konferenci a další odborné akce. Dílčí cíl byl splněn.</w:t>
            </w:r>
          </w:p>
          <w:p w14:paraId="6210506E"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Pr>
                <w:rFonts w:eastAsia="Calibri"/>
                <w:b/>
                <w:bCs/>
                <w:sz w:val="24"/>
                <w:szCs w:val="24"/>
              </w:rPr>
              <w:t xml:space="preserve"> oblasti</w:t>
            </w:r>
            <w:r w:rsidRPr="007E286F">
              <w:rPr>
                <w:rFonts w:eastAsia="Calibri"/>
                <w:b/>
                <w:bCs/>
                <w:sz w:val="24"/>
                <w:szCs w:val="24"/>
              </w:rPr>
              <w:t xml:space="preserve"> č. 3 – Moderní a současné umění</w:t>
            </w:r>
          </w:p>
          <w:p w14:paraId="26EA7FCD"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Zpracovat velké osobnosti a témata umění po roce 1945 prostřednictvím výstav a nové stálé expozice (2021–2023)</w:t>
            </w:r>
          </w:p>
          <w:p w14:paraId="0D35AE46" w14:textId="77777777" w:rsidR="00767066" w:rsidRPr="007E286F" w:rsidRDefault="00767066" w:rsidP="00767066">
            <w:pPr>
              <w:autoSpaceDE w:val="0"/>
              <w:autoSpaceDN w:val="0"/>
              <w:adjustRightInd w:val="0"/>
              <w:spacing w:before="60" w:line="276" w:lineRule="auto"/>
              <w:jc w:val="both"/>
              <w:rPr>
                <w:rFonts w:eastAsia="Calibri"/>
                <w:sz w:val="24"/>
                <w:szCs w:val="24"/>
              </w:rPr>
            </w:pPr>
            <w:r w:rsidRPr="007E286F">
              <w:rPr>
                <w:rFonts w:eastAsia="Calibri"/>
                <w:sz w:val="24"/>
                <w:szCs w:val="24"/>
              </w:rPr>
              <w:t xml:space="preserve">Dílčí cíl byl splněn. Výzkumná oblast realizovala výstavní projekt, kritický katalog a databáze. Došlo k otevření dlouho připravované expozice moderního a současného umění s názvem </w:t>
            </w:r>
            <w:r w:rsidRPr="007E286F">
              <w:rPr>
                <w:rFonts w:eastAsia="Calibri"/>
                <w:i/>
                <w:iCs/>
                <w:sz w:val="24"/>
                <w:szCs w:val="24"/>
              </w:rPr>
              <w:t xml:space="preserve">1939–2021 Konec černobílé doby </w:t>
            </w:r>
            <w:r w:rsidRPr="007E286F">
              <w:rPr>
                <w:rFonts w:eastAsia="Calibri"/>
                <w:sz w:val="24"/>
                <w:szCs w:val="24"/>
              </w:rPr>
              <w:t xml:space="preserve">a výběru prezentace uměleckých děl v online databázi </w:t>
            </w:r>
            <w:r w:rsidRPr="007E286F">
              <w:rPr>
                <w:rFonts w:eastAsia="Calibri"/>
                <w:i/>
                <w:iCs/>
                <w:sz w:val="24"/>
                <w:szCs w:val="24"/>
              </w:rPr>
              <w:t>Umění po roce 1939</w:t>
            </w:r>
            <w:r w:rsidRPr="007E286F">
              <w:rPr>
                <w:rFonts w:eastAsia="Calibri"/>
                <w:sz w:val="24"/>
                <w:szCs w:val="24"/>
              </w:rPr>
              <w:t>.</w:t>
            </w:r>
          </w:p>
          <w:p w14:paraId="5F6B5BE4"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Pr>
                <w:rFonts w:eastAsia="Calibri"/>
                <w:b/>
                <w:bCs/>
                <w:sz w:val="24"/>
                <w:szCs w:val="24"/>
              </w:rPr>
              <w:t xml:space="preserve"> oblasti</w:t>
            </w:r>
            <w:r w:rsidRPr="007E286F">
              <w:rPr>
                <w:rFonts w:eastAsia="Calibri"/>
                <w:b/>
                <w:bCs/>
                <w:sz w:val="24"/>
                <w:szCs w:val="24"/>
              </w:rPr>
              <w:t xml:space="preserve"> č. 4 – Umění grafiky a kresby</w:t>
            </w:r>
          </w:p>
          <w:p w14:paraId="34B116F7"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(A) Zpracování úseku staré kresby a grafiky, evropské manýristické grafiky, staré</w:t>
            </w:r>
          </w:p>
          <w:p w14:paraId="08CAD31B"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italské kresby (2019–2022)</w:t>
            </w:r>
          </w:p>
          <w:p w14:paraId="68117053" w14:textId="77777777" w:rsidR="00767066" w:rsidRPr="007E286F" w:rsidRDefault="00767066" w:rsidP="00767066">
            <w:pPr>
              <w:autoSpaceDE w:val="0"/>
              <w:autoSpaceDN w:val="0"/>
              <w:adjustRightInd w:val="0"/>
              <w:spacing w:before="60" w:line="276" w:lineRule="auto"/>
              <w:jc w:val="both"/>
              <w:rPr>
                <w:rFonts w:eastAsia="Calibri"/>
                <w:sz w:val="24"/>
                <w:szCs w:val="24"/>
              </w:rPr>
            </w:pPr>
            <w:r w:rsidRPr="007E286F">
              <w:rPr>
                <w:rFonts w:eastAsia="Calibri"/>
                <w:sz w:val="24"/>
                <w:szCs w:val="24"/>
              </w:rPr>
              <w:t xml:space="preserve">Dílčí cíl byl </w:t>
            </w:r>
            <w:r>
              <w:rPr>
                <w:rFonts w:eastAsia="Calibri"/>
                <w:sz w:val="24"/>
                <w:szCs w:val="24"/>
              </w:rPr>
              <w:t xml:space="preserve">částečně </w:t>
            </w:r>
            <w:r w:rsidRPr="007E286F">
              <w:rPr>
                <w:rFonts w:eastAsia="Calibri"/>
                <w:sz w:val="24"/>
                <w:szCs w:val="24"/>
              </w:rPr>
              <w:t>splněn se zaměřením na zpracování části sbírky staré italské kresby. Vzhledem k velkému rozsahu rukopisu byl katalog vydán v roce 2023. U dílčího cíle Manýristická grafika byl postup prací</w:t>
            </w:r>
            <w:r>
              <w:rPr>
                <w:rFonts w:eastAsia="Calibri"/>
                <w:sz w:val="24"/>
                <w:szCs w:val="24"/>
              </w:rPr>
              <w:t xml:space="preserve"> </w:t>
            </w:r>
            <w:r w:rsidRPr="007E286F">
              <w:rPr>
                <w:rFonts w:eastAsia="Calibri"/>
                <w:sz w:val="24"/>
                <w:szCs w:val="24"/>
              </w:rPr>
              <w:t>v roce 2023 ztížen nejen změnou výstavního plánu, ale i personálními změnami v</w:t>
            </w:r>
            <w:r>
              <w:rPr>
                <w:rFonts w:eastAsia="Calibri"/>
                <w:sz w:val="24"/>
                <w:szCs w:val="24"/>
              </w:rPr>
              <w:t> </w:t>
            </w:r>
            <w:r w:rsidRPr="007E286F">
              <w:rPr>
                <w:rFonts w:eastAsia="Calibri"/>
                <w:sz w:val="24"/>
                <w:szCs w:val="24"/>
              </w:rPr>
              <w:t>partnerské</w:t>
            </w:r>
            <w:r>
              <w:rPr>
                <w:rFonts w:eastAsia="Calibri"/>
                <w:sz w:val="24"/>
                <w:szCs w:val="24"/>
              </w:rPr>
              <w:t xml:space="preserve"> </w:t>
            </w:r>
            <w:r w:rsidRPr="007E286F">
              <w:rPr>
                <w:rFonts w:eastAsia="Calibri"/>
                <w:sz w:val="24"/>
                <w:szCs w:val="24"/>
              </w:rPr>
              <w:t>organizaci Musée du Louvre, Paříž. Výstavní projekt a realizace katalogu byla odložena na rok 2024, pokračovalo se v překladech latinských textových částí grafických listů a ve fotodokumentaci grafických listů a v jejich odborném zpracování (cca 350 grafik). Byla zpracována online databáze manýristické grafiky.</w:t>
            </w:r>
          </w:p>
          <w:p w14:paraId="000EFEDE"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2. (B) Zpracovat část kresby a grafiky 19. a první poloviny 20. století, zejména</w:t>
            </w:r>
          </w:p>
          <w:p w14:paraId="5A542E8A"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tzv. francouzské sbírky (2020–2023)</w:t>
            </w:r>
          </w:p>
          <w:p w14:paraId="6A8A3E32" w14:textId="77777777" w:rsidR="00767066" w:rsidRPr="007E286F" w:rsidRDefault="00767066" w:rsidP="00767066">
            <w:pPr>
              <w:autoSpaceDE w:val="0"/>
              <w:autoSpaceDN w:val="0"/>
              <w:adjustRightInd w:val="0"/>
              <w:spacing w:before="60" w:line="276" w:lineRule="auto"/>
              <w:jc w:val="both"/>
              <w:rPr>
                <w:rFonts w:eastAsia="Calibri"/>
                <w:sz w:val="24"/>
                <w:szCs w:val="24"/>
              </w:rPr>
            </w:pPr>
            <w:r>
              <w:rPr>
                <w:rFonts w:eastAsia="Calibri"/>
                <w:sz w:val="24"/>
                <w:szCs w:val="24"/>
              </w:rPr>
              <w:lastRenderedPageBreak/>
              <w:t xml:space="preserve">Dílčí cíl byl částečně splněn. </w:t>
            </w:r>
            <w:r w:rsidRPr="007E286F">
              <w:rPr>
                <w:rFonts w:eastAsia="Calibri"/>
                <w:sz w:val="24"/>
                <w:szCs w:val="24"/>
              </w:rPr>
              <w:t>Vzhledem k personálním změnám a dočasného působení hlavní autorky Soupisového katalogu mimo Sbírku grafiky a kresby došlo k posunu vydání. Během roku 2023 byla dokončena dokumentace fondu. Celý soupis bude obsahovat cca 200 hesel. Společně byl dokončen výběr hesel jejich</w:t>
            </w:r>
            <w:r>
              <w:rPr>
                <w:rFonts w:eastAsia="Calibri"/>
                <w:sz w:val="24"/>
                <w:szCs w:val="24"/>
              </w:rPr>
              <w:t xml:space="preserve"> </w:t>
            </w:r>
            <w:r w:rsidRPr="007E286F">
              <w:rPr>
                <w:rFonts w:eastAsia="Calibri"/>
                <w:sz w:val="24"/>
                <w:szCs w:val="24"/>
              </w:rPr>
              <w:t>zpracovateli a došlo k dopracování koncepce katalogu. Během výzkumu se ukázalo, že mnoho</w:t>
            </w:r>
            <w:r>
              <w:rPr>
                <w:rFonts w:eastAsia="Calibri"/>
                <w:sz w:val="24"/>
                <w:szCs w:val="24"/>
              </w:rPr>
              <w:t xml:space="preserve"> </w:t>
            </w:r>
            <w:r w:rsidRPr="007E286F">
              <w:rPr>
                <w:rFonts w:eastAsia="Calibri"/>
                <w:sz w:val="24"/>
                <w:szCs w:val="24"/>
              </w:rPr>
              <w:t>původních atribucí kreseb francouzského okruhu 19. a první poloviny 20. století bylo chybně určených a bude zapotřebí hlubšího průzkumu zvláště v rámci znalectví. Tato závažná zjištění časově zatížila plnění cíle. Publikační výsledek B byl nahrazen jiným titulem.</w:t>
            </w:r>
          </w:p>
          <w:p w14:paraId="5480F860"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Pr>
                <w:rFonts w:eastAsia="Calibri"/>
                <w:b/>
                <w:bCs/>
                <w:sz w:val="24"/>
                <w:szCs w:val="24"/>
              </w:rPr>
              <w:t xml:space="preserve"> oblasti</w:t>
            </w:r>
            <w:r w:rsidRPr="007E286F">
              <w:rPr>
                <w:rFonts w:eastAsia="Calibri"/>
                <w:b/>
                <w:bCs/>
                <w:sz w:val="24"/>
                <w:szCs w:val="24"/>
              </w:rPr>
              <w:t xml:space="preserve"> č. 5 – Asijské umění</w:t>
            </w:r>
          </w:p>
          <w:p w14:paraId="72C57082"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(B) Zpracování konvolutu buddhistického umění</w:t>
            </w:r>
          </w:p>
          <w:p w14:paraId="1B7A322D" w14:textId="77777777" w:rsidR="00767066" w:rsidRPr="007E286F" w:rsidRDefault="00767066" w:rsidP="00767066">
            <w:pPr>
              <w:autoSpaceDE w:val="0"/>
              <w:autoSpaceDN w:val="0"/>
              <w:adjustRightInd w:val="0"/>
              <w:spacing w:before="60" w:line="276" w:lineRule="auto"/>
              <w:jc w:val="both"/>
              <w:rPr>
                <w:rFonts w:eastAsia="Calibri"/>
                <w:sz w:val="24"/>
                <w:szCs w:val="24"/>
              </w:rPr>
            </w:pPr>
            <w:r w:rsidRPr="007E286F">
              <w:rPr>
                <w:rFonts w:eastAsia="Calibri"/>
                <w:sz w:val="24"/>
                <w:szCs w:val="24"/>
              </w:rPr>
              <w:t>Pokračovalo se v dlouhodobém zpracování soupisového katalogu, který bude vzhledem k rozsahu,</w:t>
            </w:r>
            <w:r>
              <w:rPr>
                <w:rFonts w:eastAsia="Calibri"/>
                <w:sz w:val="24"/>
                <w:szCs w:val="24"/>
              </w:rPr>
              <w:t xml:space="preserve"> </w:t>
            </w:r>
            <w:r w:rsidRPr="007E286F">
              <w:rPr>
                <w:rFonts w:eastAsia="Calibri"/>
                <w:sz w:val="24"/>
                <w:szCs w:val="24"/>
              </w:rPr>
              <w:t>počtu autorů a komplexnosti tématu dokončen v následujícím roce. Publikační výsledek typu B byl nahrazen jiným titulem.</w:t>
            </w:r>
          </w:p>
          <w:p w14:paraId="39E3A112"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Pr>
                <w:rFonts w:eastAsia="Calibri"/>
                <w:b/>
                <w:bCs/>
                <w:sz w:val="24"/>
                <w:szCs w:val="24"/>
              </w:rPr>
              <w:t xml:space="preserve"> oblasti</w:t>
            </w:r>
            <w:r w:rsidRPr="007E286F">
              <w:rPr>
                <w:rFonts w:eastAsia="Calibri"/>
                <w:b/>
                <w:bCs/>
                <w:sz w:val="24"/>
                <w:szCs w:val="24"/>
              </w:rPr>
              <w:t xml:space="preserve"> č. 6 – Komplexní průzkum výtvarných materiálů ve výtvarných objektech od 13. do 19. století a vytvoření databáze mikroskopických a spektroskopických dat (2019–2023)</w:t>
            </w:r>
          </w:p>
          <w:p w14:paraId="6CA6F645"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Zpracování materiálů pigmentů v malířských dílech 13. až 19. století</w:t>
            </w:r>
          </w:p>
          <w:p w14:paraId="5C42A0E3" w14:textId="77777777" w:rsidR="00767066" w:rsidRPr="007E286F" w:rsidRDefault="00767066" w:rsidP="00767066">
            <w:pPr>
              <w:autoSpaceDE w:val="0"/>
              <w:autoSpaceDN w:val="0"/>
              <w:adjustRightInd w:val="0"/>
              <w:spacing w:before="60" w:line="276" w:lineRule="auto"/>
              <w:jc w:val="both"/>
              <w:rPr>
                <w:rFonts w:eastAsia="Calibri"/>
                <w:sz w:val="24"/>
                <w:szCs w:val="24"/>
              </w:rPr>
            </w:pPr>
            <w:r w:rsidRPr="007E286F">
              <w:rPr>
                <w:rFonts w:eastAsia="Calibri"/>
                <w:sz w:val="24"/>
                <w:szCs w:val="24"/>
              </w:rPr>
              <w:t>Dílčí cíl byl splněn. V roce 2023 odborní výzkumní pracovníci chemicko-technologické laboratoře</w:t>
            </w:r>
            <w:r>
              <w:rPr>
                <w:rFonts w:eastAsia="Calibri"/>
                <w:sz w:val="24"/>
                <w:szCs w:val="24"/>
              </w:rPr>
              <w:t xml:space="preserve"> </w:t>
            </w:r>
            <w:r w:rsidRPr="007E286F">
              <w:rPr>
                <w:rFonts w:eastAsia="Calibri"/>
                <w:sz w:val="24"/>
                <w:szCs w:val="24"/>
              </w:rPr>
              <w:t>pokračovali v dokončení dlouhodobého cíle a finalizaci konkrétních výsledků. Po celý rok byla</w:t>
            </w:r>
            <w:r>
              <w:rPr>
                <w:rFonts w:eastAsia="Calibri"/>
                <w:sz w:val="24"/>
                <w:szCs w:val="24"/>
              </w:rPr>
              <w:t xml:space="preserve"> </w:t>
            </w:r>
            <w:r w:rsidRPr="007E286F">
              <w:rPr>
                <w:rFonts w:eastAsia="Calibri"/>
                <w:sz w:val="24"/>
                <w:szCs w:val="24"/>
              </w:rPr>
              <w:t>finalizována úprava dat do odborného výstupu typu S Databáze uměleckých materiálů (</w:t>
            </w:r>
            <w:r w:rsidRPr="007E286F">
              <w:rPr>
                <w:rFonts w:eastAsia="Calibri"/>
                <w:i/>
                <w:iCs/>
                <w:sz w:val="24"/>
                <w:szCs w:val="24"/>
              </w:rPr>
              <w:t>DatUM</w:t>
            </w:r>
            <w:r w:rsidRPr="007E286F">
              <w:rPr>
                <w:rFonts w:eastAsia="Calibri"/>
                <w:sz w:val="24"/>
                <w:szCs w:val="24"/>
              </w:rPr>
              <w:t>). Byla dokončena příprava textů a dat pro plánovaný výstup B odborná kniha s názvem „Pigmenty a jejich identifikace“.</w:t>
            </w:r>
          </w:p>
          <w:p w14:paraId="03230CFE"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Pr>
                <w:rFonts w:eastAsia="Calibri"/>
                <w:b/>
                <w:bCs/>
                <w:sz w:val="24"/>
                <w:szCs w:val="24"/>
              </w:rPr>
              <w:t xml:space="preserve"> oblasti</w:t>
            </w:r>
            <w:r w:rsidRPr="007E286F">
              <w:rPr>
                <w:rFonts w:eastAsia="Calibri"/>
                <w:b/>
                <w:bCs/>
                <w:sz w:val="24"/>
                <w:szCs w:val="24"/>
              </w:rPr>
              <w:t xml:space="preserve"> č. 7 – Zpracování (inventarizace) archivního fondu Národní galerie v Praze z let 1945 až 1990 ve správě NGP (2019–2023)</w:t>
            </w:r>
          </w:p>
          <w:p w14:paraId="72B62EA8"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Inventarizace fondu</w:t>
            </w:r>
          </w:p>
          <w:p w14:paraId="5228E0B0" w14:textId="77777777" w:rsidR="00767066" w:rsidRPr="007E286F" w:rsidRDefault="00767066" w:rsidP="00767066">
            <w:pPr>
              <w:autoSpaceDE w:val="0"/>
              <w:autoSpaceDN w:val="0"/>
              <w:adjustRightInd w:val="0"/>
              <w:spacing w:before="60" w:line="276" w:lineRule="auto"/>
              <w:jc w:val="both"/>
              <w:rPr>
                <w:rFonts w:eastAsia="Calibri"/>
                <w:sz w:val="24"/>
                <w:szCs w:val="24"/>
              </w:rPr>
            </w:pPr>
            <w:r w:rsidRPr="007E286F">
              <w:rPr>
                <w:rFonts w:eastAsia="Calibri"/>
                <w:sz w:val="24"/>
                <w:szCs w:val="24"/>
              </w:rPr>
              <w:t>Realizace dílčího cíle je dlouhodobým projektem a prezentace zpracovaných inventářů v</w:t>
            </w:r>
            <w:r>
              <w:rPr>
                <w:rFonts w:eastAsia="Calibri"/>
                <w:sz w:val="24"/>
                <w:szCs w:val="24"/>
              </w:rPr>
              <w:t> </w:t>
            </w:r>
            <w:r w:rsidRPr="007E286F">
              <w:rPr>
                <w:rFonts w:eastAsia="Calibri"/>
                <w:sz w:val="24"/>
                <w:szCs w:val="24"/>
              </w:rPr>
              <w:t>online</w:t>
            </w:r>
            <w:r>
              <w:rPr>
                <w:rFonts w:eastAsia="Calibri"/>
                <w:sz w:val="24"/>
                <w:szCs w:val="24"/>
              </w:rPr>
              <w:t xml:space="preserve"> </w:t>
            </w:r>
            <w:r w:rsidRPr="007E286F">
              <w:rPr>
                <w:rFonts w:eastAsia="Calibri"/>
                <w:sz w:val="24"/>
                <w:szCs w:val="24"/>
              </w:rPr>
              <w:t>podobě je atraktivním nástrojem pro badatele. V roce 2023 probíhaly práce na zbylých částech</w:t>
            </w:r>
            <w:r>
              <w:rPr>
                <w:rFonts w:eastAsia="Calibri"/>
                <w:sz w:val="24"/>
                <w:szCs w:val="24"/>
              </w:rPr>
              <w:t xml:space="preserve"> </w:t>
            </w:r>
            <w:r w:rsidRPr="007E286F">
              <w:rPr>
                <w:rFonts w:eastAsia="Calibri"/>
                <w:sz w:val="24"/>
                <w:szCs w:val="24"/>
              </w:rPr>
              <w:t>archivního fondu. Pokračovalo pořádání archivního fondu Národní galerie v Praze (1945–1958, 1981–1985, 1986–1990), rozsah zpracovaných manipulací byl přes 200 kartonů. Mezi nejzajímavější spisy náleží materiály týkající se budování galerie po válce, řešení přidělování budov i novostaveb galerie nebo spisy k mimořádným akvizicím a výstavám.</w:t>
            </w:r>
          </w:p>
          <w:p w14:paraId="0540A1DF"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V</w:t>
            </w:r>
            <w:r>
              <w:rPr>
                <w:rFonts w:eastAsia="Calibri"/>
                <w:b/>
                <w:bCs/>
                <w:sz w:val="24"/>
                <w:szCs w:val="24"/>
              </w:rPr>
              <w:t xml:space="preserve"> oblasti</w:t>
            </w:r>
            <w:r w:rsidRPr="007E286F">
              <w:rPr>
                <w:rFonts w:eastAsia="Calibri"/>
                <w:b/>
                <w:bCs/>
                <w:sz w:val="24"/>
                <w:szCs w:val="24"/>
              </w:rPr>
              <w:t xml:space="preserve"> č. 8 – Prezentace výsledků výzkumu a vývoje, podpora vědecko-výzkumné</w:t>
            </w:r>
          </w:p>
          <w:p w14:paraId="1B8EAB00"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a publikační činnosti pracovníků NGP</w:t>
            </w:r>
          </w:p>
          <w:p w14:paraId="4B42E150"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t>1. (A) Podpora publikační činnosti zaměřená zejména na odborné studie a monografie (2021–2023)</w:t>
            </w:r>
          </w:p>
          <w:p w14:paraId="5FCA8A62" w14:textId="77777777" w:rsidR="00767066" w:rsidRPr="007E286F" w:rsidRDefault="00767066" w:rsidP="00767066">
            <w:pPr>
              <w:autoSpaceDE w:val="0"/>
              <w:autoSpaceDN w:val="0"/>
              <w:adjustRightInd w:val="0"/>
              <w:spacing w:before="60" w:line="276" w:lineRule="auto"/>
              <w:jc w:val="both"/>
              <w:rPr>
                <w:rFonts w:eastAsia="Calibri"/>
                <w:sz w:val="24"/>
                <w:szCs w:val="24"/>
              </w:rPr>
            </w:pPr>
            <w:r w:rsidRPr="007E286F">
              <w:rPr>
                <w:rFonts w:eastAsia="Calibri"/>
                <w:sz w:val="24"/>
                <w:szCs w:val="24"/>
              </w:rPr>
              <w:t>Od roku 2021 je zřízena nová průřezová výzkumná oblast, která koordinuje vnitřní komunikaci při</w:t>
            </w:r>
            <w:r>
              <w:rPr>
                <w:rFonts w:eastAsia="Calibri"/>
                <w:sz w:val="24"/>
                <w:szCs w:val="24"/>
              </w:rPr>
              <w:t xml:space="preserve"> </w:t>
            </w:r>
            <w:r w:rsidRPr="007E286F">
              <w:rPr>
                <w:rFonts w:eastAsia="Calibri"/>
                <w:sz w:val="24"/>
                <w:szCs w:val="24"/>
              </w:rPr>
              <w:t xml:space="preserve">plnění naplánovaných výstupů vědecko-výzkumné činnosti a podporuje realizaci vědeckých výstupů NGP. V roce 2023 bylo zorganizováno jednání redakčních rad časopisů, jednání ediční a vědecké rady NGP. Dále bylo organizačně a redakčně zajištěno vydání periodik </w:t>
            </w:r>
            <w:r w:rsidRPr="007E286F">
              <w:rPr>
                <w:rFonts w:eastAsia="Calibri"/>
                <w:i/>
                <w:iCs/>
                <w:sz w:val="24"/>
                <w:szCs w:val="24"/>
              </w:rPr>
              <w:t xml:space="preserve">Bulletin Národní galerie v Praze </w:t>
            </w:r>
            <w:r w:rsidRPr="007E286F">
              <w:rPr>
                <w:rFonts w:eastAsia="Calibri"/>
                <w:sz w:val="24"/>
                <w:szCs w:val="24"/>
              </w:rPr>
              <w:t xml:space="preserve">a </w:t>
            </w:r>
            <w:r w:rsidRPr="007E286F">
              <w:rPr>
                <w:rFonts w:eastAsia="Calibri"/>
                <w:i/>
                <w:iCs/>
                <w:sz w:val="24"/>
                <w:szCs w:val="24"/>
              </w:rPr>
              <w:t xml:space="preserve">Ars linearis </w:t>
            </w:r>
            <w:r w:rsidRPr="007E286F">
              <w:rPr>
                <w:rFonts w:eastAsia="Calibri"/>
                <w:sz w:val="24"/>
                <w:szCs w:val="24"/>
              </w:rPr>
              <w:t>Proběhla realizace studií (výsledky J). Náplň dílčího cíle byla realizována v plné šíři a výstupy splněny.</w:t>
            </w:r>
          </w:p>
          <w:p w14:paraId="782BC703" w14:textId="77777777" w:rsidR="00767066" w:rsidRPr="007E286F" w:rsidRDefault="00767066" w:rsidP="00767066">
            <w:pPr>
              <w:autoSpaceDE w:val="0"/>
              <w:autoSpaceDN w:val="0"/>
              <w:adjustRightInd w:val="0"/>
              <w:spacing w:before="60" w:line="276" w:lineRule="auto"/>
              <w:jc w:val="both"/>
              <w:rPr>
                <w:rFonts w:eastAsia="Calibri"/>
                <w:b/>
                <w:bCs/>
                <w:sz w:val="24"/>
                <w:szCs w:val="24"/>
              </w:rPr>
            </w:pPr>
            <w:r w:rsidRPr="007E286F">
              <w:rPr>
                <w:rFonts w:eastAsia="Calibri"/>
                <w:b/>
                <w:bCs/>
                <w:sz w:val="24"/>
                <w:szCs w:val="24"/>
              </w:rPr>
              <w:lastRenderedPageBreak/>
              <w:t>2. (B) Dlouhodobé uchování, udržitelnost a prezentace online databází NGP, podpora publikování výsledků výzkumu a vývoje elektronickou formou, podpora publikování e-knih (2021–2023)</w:t>
            </w:r>
          </w:p>
          <w:p w14:paraId="781EB177" w14:textId="4615CE3F" w:rsidR="00C01B75" w:rsidRPr="00C473B1" w:rsidRDefault="00767066" w:rsidP="001B63A8">
            <w:pPr>
              <w:autoSpaceDE w:val="0"/>
              <w:autoSpaceDN w:val="0"/>
              <w:adjustRightInd w:val="0"/>
              <w:spacing w:before="60" w:line="276" w:lineRule="auto"/>
              <w:jc w:val="both"/>
              <w:rPr>
                <w:rFonts w:eastAsia="Calibri"/>
                <w:b/>
                <w:bCs/>
                <w:sz w:val="24"/>
                <w:szCs w:val="24"/>
              </w:rPr>
            </w:pPr>
            <w:r w:rsidRPr="007E286F">
              <w:rPr>
                <w:rFonts w:eastAsia="Calibri"/>
                <w:sz w:val="24"/>
                <w:szCs w:val="24"/>
              </w:rPr>
              <w:t>Dílčí cíl byl úspěšně naplněn – proběhlo další rozšíření platformy pro soupisové katalogy online a</w:t>
            </w:r>
            <w:r>
              <w:rPr>
                <w:rFonts w:eastAsia="Calibri"/>
                <w:sz w:val="24"/>
                <w:szCs w:val="24"/>
              </w:rPr>
              <w:t xml:space="preserve"> </w:t>
            </w:r>
            <w:r w:rsidRPr="007E286F">
              <w:rPr>
                <w:rFonts w:eastAsia="Calibri"/>
                <w:sz w:val="24"/>
                <w:szCs w:val="24"/>
              </w:rPr>
              <w:t>zajištění technické infrastruktury a její funkcionality pro databáze IP DKRVO. Dále byla zajištěna</w:t>
            </w:r>
            <w:r>
              <w:rPr>
                <w:rFonts w:eastAsia="Calibri"/>
                <w:sz w:val="24"/>
                <w:szCs w:val="24"/>
              </w:rPr>
              <w:t xml:space="preserve"> </w:t>
            </w:r>
            <w:r w:rsidRPr="007E286F">
              <w:rPr>
                <w:rFonts w:eastAsia="Calibri"/>
                <w:sz w:val="24"/>
                <w:szCs w:val="24"/>
              </w:rPr>
              <w:t>uživatelská podpora pro kurátory a pomocné administrativní síly při vkládání dat do databáze. Proběhla analýza možností a forem publikování e-knih NGP. Systém při vyřizování repropráv a</w:t>
            </w:r>
            <w:r>
              <w:rPr>
                <w:rFonts w:eastAsia="Calibri"/>
                <w:sz w:val="24"/>
                <w:szCs w:val="24"/>
              </w:rPr>
              <w:t xml:space="preserve"> </w:t>
            </w:r>
            <w:r w:rsidRPr="007E286F">
              <w:rPr>
                <w:rFonts w:eastAsia="Calibri"/>
                <w:sz w:val="24"/>
                <w:szCs w:val="24"/>
              </w:rPr>
              <w:t>autorských práv se upravil tak, aby bylo možné vybrané tituly publikací zveřejňovat i v elektronické formě.</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0C8397AE" w14:textId="396D7417" w:rsidR="000C28D8" w:rsidRPr="00C62887" w:rsidRDefault="002663C1" w:rsidP="007920D9">
            <w:pPr>
              <w:autoSpaceDE w:val="0"/>
              <w:autoSpaceDN w:val="0"/>
              <w:adjustRightInd w:val="0"/>
              <w:spacing w:before="60" w:line="276" w:lineRule="auto"/>
              <w:jc w:val="both"/>
              <w:rPr>
                <w:rFonts w:ascii="TimesNewRomanPSMT" w:eastAsia="Calibri" w:hAnsi="TimesNewRomanPSMT" w:cs="TimesNewRomanPSMT"/>
                <w:sz w:val="24"/>
                <w:szCs w:val="24"/>
              </w:rPr>
            </w:pPr>
            <w:r w:rsidRPr="00C62887">
              <w:rPr>
                <w:rFonts w:ascii="TimesNewRomanPSMT" w:eastAsia="Calibri" w:hAnsi="TimesNewRomanPSMT" w:cs="TimesNewRomanPSMT"/>
                <w:sz w:val="24"/>
                <w:szCs w:val="24"/>
              </w:rPr>
              <w:t>Celkovým cílem koncepce NGP bylo prostřednictvím podpory z IP DKRVO posílit přední pozici</w:t>
            </w:r>
            <w:r w:rsidR="00C62887">
              <w:rPr>
                <w:rFonts w:ascii="TimesNewRomanPSMT" w:eastAsia="Calibri" w:hAnsi="TimesNewRomanPSMT" w:cs="TimesNewRomanPSMT"/>
                <w:sz w:val="24"/>
                <w:szCs w:val="24"/>
              </w:rPr>
              <w:t xml:space="preserve"> </w:t>
            </w:r>
            <w:r w:rsidRPr="00C62887">
              <w:rPr>
                <w:rFonts w:ascii="TimesNewRomanPSMT" w:eastAsia="Calibri" w:hAnsi="TimesNewRomanPSMT" w:cs="TimesNewRomanPSMT"/>
                <w:sz w:val="24"/>
                <w:szCs w:val="24"/>
              </w:rPr>
              <w:t>instituce mezi výzkumnými organizacemi v oblasti základního a aplikovaného výzkumu a vývoje</w:t>
            </w:r>
            <w:r w:rsidR="00C62887">
              <w:rPr>
                <w:rFonts w:ascii="TimesNewRomanPSMT" w:eastAsia="Calibri" w:hAnsi="TimesNewRomanPSMT" w:cs="TimesNewRomanPSMT"/>
                <w:sz w:val="24"/>
                <w:szCs w:val="24"/>
              </w:rPr>
              <w:t xml:space="preserve"> </w:t>
            </w:r>
            <w:r w:rsidRPr="00C62887">
              <w:rPr>
                <w:rFonts w:ascii="TimesNewRomanPSMT" w:eastAsia="Calibri" w:hAnsi="TimesNewRomanPSMT" w:cs="TimesNewRomanPSMT"/>
                <w:sz w:val="24"/>
                <w:szCs w:val="24"/>
              </w:rPr>
              <w:t>v humanitních oborech. Na základě transferu znalostí uplatňovat své výsledky v praxi s</w:t>
            </w:r>
            <w:r w:rsidR="00C62887">
              <w:rPr>
                <w:rFonts w:ascii="TimesNewRomanPSMT" w:eastAsia="Calibri" w:hAnsi="TimesNewRomanPSMT" w:cs="TimesNewRomanPSMT"/>
                <w:sz w:val="24"/>
                <w:szCs w:val="24"/>
              </w:rPr>
              <w:t> </w:t>
            </w:r>
            <w:r w:rsidRPr="00C62887">
              <w:rPr>
                <w:rFonts w:ascii="TimesNewRomanPSMT" w:eastAsia="Calibri" w:hAnsi="TimesNewRomanPSMT" w:cs="TimesNewRomanPSMT"/>
                <w:sz w:val="24"/>
                <w:szCs w:val="24"/>
              </w:rPr>
              <w:t>vysokou</w:t>
            </w:r>
            <w:r w:rsidR="00C62887">
              <w:rPr>
                <w:rFonts w:ascii="TimesNewRomanPSMT" w:eastAsia="Calibri" w:hAnsi="TimesNewRomanPSMT" w:cs="TimesNewRomanPSMT"/>
                <w:sz w:val="24"/>
                <w:szCs w:val="24"/>
              </w:rPr>
              <w:t xml:space="preserve"> </w:t>
            </w:r>
            <w:r w:rsidRPr="00C62887">
              <w:rPr>
                <w:rFonts w:ascii="TimesNewRomanPSMT" w:eastAsia="Calibri" w:hAnsi="TimesNewRomanPSMT" w:cs="TimesNewRomanPSMT"/>
                <w:sz w:val="24"/>
                <w:szCs w:val="24"/>
              </w:rPr>
              <w:t>společenskou relevancí a s realizováním své mise NGP přispěla k plnění úkolů v duchu strategií</w:t>
            </w:r>
            <w:r w:rsidR="00C62887">
              <w:rPr>
                <w:rFonts w:ascii="TimesNewRomanPSMT" w:eastAsia="Calibri" w:hAnsi="TimesNewRomanPSMT" w:cs="TimesNewRomanPSMT"/>
                <w:sz w:val="24"/>
                <w:szCs w:val="24"/>
              </w:rPr>
              <w:t xml:space="preserve"> </w:t>
            </w:r>
            <w:r w:rsidRPr="00C62887">
              <w:rPr>
                <w:rFonts w:ascii="TimesNewRomanPSMT" w:eastAsia="Calibri" w:hAnsi="TimesNewRomanPSMT" w:cs="TimesNewRomanPSMT"/>
                <w:sz w:val="24"/>
                <w:szCs w:val="24"/>
              </w:rPr>
              <w:t>schválených Vládou České republiky a MK</w:t>
            </w:r>
            <w:r w:rsidR="00C62887" w:rsidRPr="00C62887">
              <w:rPr>
                <w:rFonts w:ascii="TimesNewRomanPSMT" w:eastAsia="Calibri" w:hAnsi="TimesNewRomanPSMT" w:cs="TimesNewRomanPSMT"/>
                <w:sz w:val="24"/>
                <w:szCs w:val="24"/>
              </w:rPr>
              <w:t>.</w:t>
            </w:r>
          </w:p>
          <w:p w14:paraId="2E302418" w14:textId="77777777" w:rsidR="009C17F6" w:rsidRDefault="00C62887" w:rsidP="007920D9">
            <w:pPr>
              <w:autoSpaceDE w:val="0"/>
              <w:autoSpaceDN w:val="0"/>
              <w:adjustRightInd w:val="0"/>
              <w:spacing w:before="60" w:line="276" w:lineRule="auto"/>
              <w:jc w:val="both"/>
              <w:rPr>
                <w:rFonts w:ascii="TimesNewRomanPSMT" w:eastAsia="Calibri" w:hAnsi="TimesNewRomanPSMT" w:cs="TimesNewRomanPSMT"/>
                <w:sz w:val="24"/>
                <w:szCs w:val="24"/>
              </w:rPr>
            </w:pPr>
            <w:r w:rsidRPr="00C62887">
              <w:rPr>
                <w:rFonts w:ascii="TimesNewRomanPSMT" w:eastAsia="Calibri" w:hAnsi="TimesNewRomanPSMT" w:cs="TimesNewRomanPSMT"/>
                <w:sz w:val="24"/>
                <w:szCs w:val="24"/>
              </w:rPr>
              <w:t>Činnosti vykonávané NGP vyplývají ze zákona o NGP a statutem, čímž je podmíněna úzká vazba</w:t>
            </w:r>
            <w:r>
              <w:rPr>
                <w:rFonts w:ascii="TimesNewRomanPSMT" w:eastAsia="Calibri" w:hAnsi="TimesNewRomanPSMT" w:cs="TimesNewRomanPSMT"/>
                <w:sz w:val="24"/>
                <w:szCs w:val="24"/>
              </w:rPr>
              <w:t xml:space="preserve"> </w:t>
            </w:r>
            <w:r w:rsidRPr="00C62887">
              <w:rPr>
                <w:rFonts w:ascii="TimesNewRomanPSMT" w:eastAsia="Calibri" w:hAnsi="TimesNewRomanPSMT" w:cs="TimesNewRomanPSMT"/>
                <w:sz w:val="24"/>
                <w:szCs w:val="24"/>
              </w:rPr>
              <w:t>vědecko-výzkumných koncepčních materiálů organizace na vládní strategické dokumenty a strategické a koncepční dokumenty MK, zejména na Koncepci VaV MK na léta 2023 až 2030.</w:t>
            </w:r>
          </w:p>
          <w:p w14:paraId="3F8B7B28" w14:textId="77777777" w:rsidR="006503FE" w:rsidRDefault="006503FE" w:rsidP="00C11CE4">
            <w:pPr>
              <w:autoSpaceDE w:val="0"/>
              <w:autoSpaceDN w:val="0"/>
              <w:adjustRightInd w:val="0"/>
              <w:spacing w:before="60" w:line="276" w:lineRule="auto"/>
              <w:jc w:val="both"/>
              <w:rPr>
                <w:rFonts w:ascii="TimesNewRomanPSMT" w:eastAsia="Calibri" w:hAnsi="TimesNewRomanPSMT" w:cs="TimesNewRomanPSMT"/>
                <w:sz w:val="24"/>
                <w:szCs w:val="24"/>
              </w:rPr>
            </w:pPr>
            <w:r w:rsidRPr="006503FE">
              <w:rPr>
                <w:rFonts w:ascii="TimesNewRomanPSMT" w:eastAsia="Calibri" w:hAnsi="TimesNewRomanPSMT" w:cs="TimesNewRomanPSMT"/>
                <w:sz w:val="24"/>
                <w:szCs w:val="24"/>
              </w:rPr>
              <w:t>NGP naplňuje strategické</w:t>
            </w:r>
            <w:r>
              <w:rPr>
                <w:rFonts w:ascii="TimesNewRomanPSMT" w:eastAsia="Calibri" w:hAnsi="TimesNewRomanPSMT" w:cs="TimesNewRomanPSMT"/>
                <w:sz w:val="24"/>
                <w:szCs w:val="24"/>
              </w:rPr>
              <w:t xml:space="preserve"> </w:t>
            </w:r>
            <w:r w:rsidRPr="006503FE">
              <w:rPr>
                <w:rFonts w:ascii="TimesNewRomanPSMT" w:eastAsia="Calibri" w:hAnsi="TimesNewRomanPSMT" w:cs="TimesNewRomanPSMT"/>
                <w:sz w:val="24"/>
                <w:szCs w:val="24"/>
              </w:rPr>
              <w:t>dokumenty MK a vlády ČR prostřednictvím zvolených výzkumných oblastí, zejména systematickou</w:t>
            </w:r>
            <w:r w:rsidR="00C11CE4">
              <w:rPr>
                <w:rFonts w:ascii="TimesNewRomanPSMT" w:eastAsia="Calibri" w:hAnsi="TimesNewRomanPSMT" w:cs="TimesNewRomanPSMT"/>
                <w:sz w:val="24"/>
                <w:szCs w:val="24"/>
              </w:rPr>
              <w:t xml:space="preserve"> </w:t>
            </w:r>
            <w:r w:rsidRPr="006503FE">
              <w:rPr>
                <w:rFonts w:ascii="TimesNewRomanPSMT" w:eastAsia="Calibri" w:hAnsi="TimesNewRomanPSMT" w:cs="TimesNewRomanPSMT"/>
                <w:sz w:val="24"/>
                <w:szCs w:val="24"/>
              </w:rPr>
              <w:t>péčí, průzkumem sbírek a prezentací výsledků formou výstav, publikací, soupisových katalogů a</w:t>
            </w:r>
            <w:r w:rsidR="00C11CE4">
              <w:rPr>
                <w:rFonts w:ascii="TimesNewRomanPSMT" w:eastAsia="Calibri" w:hAnsi="TimesNewRomanPSMT" w:cs="TimesNewRomanPSMT"/>
                <w:sz w:val="24"/>
                <w:szCs w:val="24"/>
              </w:rPr>
              <w:t xml:space="preserve"> </w:t>
            </w:r>
            <w:r w:rsidRPr="006503FE">
              <w:rPr>
                <w:rFonts w:ascii="TimesNewRomanPSMT" w:eastAsia="Calibri" w:hAnsi="TimesNewRomanPSMT" w:cs="TimesNewRomanPSMT"/>
                <w:sz w:val="24"/>
                <w:szCs w:val="24"/>
              </w:rPr>
              <w:t>zpřístupňováním dokumentů v elektronické podobě (online publikace, databáze apod.).</w:t>
            </w:r>
          </w:p>
          <w:p w14:paraId="71A73E93" w14:textId="29CE55B1" w:rsidR="00C11CE4" w:rsidRPr="00C62887" w:rsidRDefault="009D3DA6" w:rsidP="00C11CE4">
            <w:pPr>
              <w:autoSpaceDE w:val="0"/>
              <w:autoSpaceDN w:val="0"/>
              <w:adjustRightInd w:val="0"/>
              <w:spacing w:before="60" w:line="276" w:lineRule="auto"/>
              <w:jc w:val="both"/>
              <w:rPr>
                <w:rFonts w:ascii="TimesNewRomanPSMT" w:eastAsia="Calibri" w:hAnsi="TimesNewRomanPSMT" w:cs="TimesNewRomanPSMT"/>
                <w:sz w:val="24"/>
                <w:szCs w:val="24"/>
              </w:rPr>
            </w:pPr>
            <w:r>
              <w:rPr>
                <w:rFonts w:ascii="TimesNewRomanPSMT" w:eastAsia="Calibri" w:hAnsi="TimesNewRomanPSMT" w:cs="TimesNewRomanPSMT"/>
                <w:sz w:val="24"/>
                <w:szCs w:val="24"/>
              </w:rPr>
              <w:t xml:space="preserve">Vazba na konkrétní cíle strategických dokumentů a koncepcí </w:t>
            </w:r>
            <w:r w:rsidR="0031482C">
              <w:rPr>
                <w:rFonts w:ascii="TimesNewRomanPSMT" w:eastAsia="Calibri" w:hAnsi="TimesNewRomanPSMT" w:cs="TimesNewRomanPSMT"/>
                <w:sz w:val="24"/>
                <w:szCs w:val="24"/>
              </w:rPr>
              <w:t>a vyhodnocení jejich plnění ne</w:t>
            </w:r>
            <w:r w:rsidR="00F2305A">
              <w:rPr>
                <w:rFonts w:ascii="TimesNewRomanPSMT" w:eastAsia="Calibri" w:hAnsi="TimesNewRomanPSMT" w:cs="TimesNewRomanPSMT"/>
                <w:sz w:val="24"/>
                <w:szCs w:val="24"/>
              </w:rPr>
              <w:t>jsou v</w:t>
            </w:r>
            <w:r w:rsidR="00DE5330">
              <w:rPr>
                <w:rFonts w:ascii="TimesNewRomanPSMT" w:eastAsia="Calibri" w:hAnsi="TimesNewRomanPSMT" w:cs="TimesNewRomanPSMT"/>
                <w:sz w:val="24"/>
                <w:szCs w:val="24"/>
              </w:rPr>
              <w:t> ZP VO detailně uveden</w:t>
            </w:r>
            <w:r w:rsidR="00F2305A">
              <w:rPr>
                <w:rFonts w:ascii="TimesNewRomanPSMT" w:eastAsia="Calibri" w:hAnsi="TimesNewRomanPSMT" w:cs="TimesNewRomanPSMT"/>
                <w:sz w:val="24"/>
                <w:szCs w:val="24"/>
              </w:rPr>
              <w:t>y</w:t>
            </w:r>
            <w:r w:rsidR="00DE5330">
              <w:rPr>
                <w:rFonts w:ascii="TimesNewRomanPSMT" w:eastAsia="Calibri" w:hAnsi="TimesNewRomanPSMT" w:cs="TimesNewRomanPSMT"/>
                <w:sz w:val="24"/>
                <w:szCs w:val="24"/>
              </w:rPr>
              <w:t>.</w:t>
            </w:r>
            <w:r>
              <w:rPr>
                <w:rFonts w:ascii="TimesNewRomanPSMT" w:eastAsia="Calibri" w:hAnsi="TimesNewRomanPSMT" w:cs="TimesNewRomanPSMT"/>
                <w:sz w:val="24"/>
                <w:szCs w:val="24"/>
              </w:rPr>
              <w:t xml:space="preserve"> </w:t>
            </w:r>
            <w:r w:rsidR="00C11CE4">
              <w:rPr>
                <w:rFonts w:ascii="TimesNewRomanPSMT" w:eastAsia="Calibri" w:hAnsi="TimesNewRomanPSMT" w:cs="TimesNewRomanPSMT"/>
                <w:sz w:val="24"/>
                <w:szCs w:val="24"/>
              </w:rPr>
              <w:t xml:space="preserve"> </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210CF31F" w14:textId="232B949F" w:rsidR="00E27AE7" w:rsidRPr="00E27AE7" w:rsidRDefault="00E27AE7" w:rsidP="007920D9">
            <w:pPr>
              <w:autoSpaceDE w:val="0"/>
              <w:autoSpaceDN w:val="0"/>
              <w:adjustRightInd w:val="0"/>
              <w:spacing w:before="60" w:line="276" w:lineRule="auto"/>
              <w:rPr>
                <w:rFonts w:ascii="TimesNewRomanPSMT" w:eastAsia="Calibri" w:hAnsi="TimesNewRomanPSMT" w:cs="TimesNewRomanPSMT"/>
                <w:color w:val="000000"/>
                <w:sz w:val="24"/>
                <w:szCs w:val="24"/>
              </w:rPr>
            </w:pPr>
            <w:r w:rsidRPr="00E27AE7">
              <w:rPr>
                <w:rFonts w:ascii="TimesNewRomanPSMT" w:eastAsia="Calibri" w:hAnsi="TimesNewRomanPSMT" w:cs="TimesNewRomanPSMT"/>
                <w:sz w:val="24"/>
                <w:szCs w:val="24"/>
              </w:rPr>
              <w:t>Aktuální celkový počet zaměstnanců NGP, kteří se podílejí na výzkumu a vývoji, je 59 osob (10,5</w:t>
            </w:r>
            <w:r w:rsidR="00734BF7">
              <w:rPr>
                <w:rFonts w:ascii="TimesNewRomanPSMT" w:eastAsia="Calibri" w:hAnsi="TimesNewRomanPSMT" w:cs="TimesNewRomanPSMT"/>
                <w:sz w:val="24"/>
                <w:szCs w:val="24"/>
              </w:rPr>
              <w:t xml:space="preserve"> </w:t>
            </w:r>
            <w:r w:rsidRPr="00E27AE7">
              <w:rPr>
                <w:rFonts w:ascii="TimesNewRomanPSMT" w:eastAsia="Calibri" w:hAnsi="TimesNewRomanPSMT" w:cs="TimesNewRomanPSMT"/>
                <w:sz w:val="24"/>
                <w:szCs w:val="24"/>
              </w:rPr>
              <w:t xml:space="preserve">úvazků), z toho 45 žen (9 úvazků). Postupně se podařilo i díky financování IP DKRVO zvýšit z původně 21 osob vázaných na oblast VaV a saturovat alespoň část personálních a věcných nákladů pro oblast vědy a výzkumu. Odborní pracovníci NGP a nejširší veřejnost mohou dlouhodobě využívat návštěv veřejně přístupných odborných pracovišť: knihovny a archivu (Šternberský a Schwarzenberský palác), jejichž akvizice byly každoročně systematicky podpořeny částkou na rozšiřování informačních zdrojů. </w:t>
            </w:r>
            <w:r w:rsidRPr="00E27AE7">
              <w:rPr>
                <w:rFonts w:ascii="TimesNewRomanPSMT" w:eastAsia="Calibri" w:hAnsi="TimesNewRomanPSMT" w:cs="TimesNewRomanPSMT"/>
                <w:color w:val="000000"/>
                <w:sz w:val="24"/>
                <w:szCs w:val="24"/>
              </w:rPr>
              <w:t xml:space="preserve">Pracoviště restaurátorského oddělení a zejména chemicko-technologické laboratoře je </w:t>
            </w:r>
            <w:r w:rsidRPr="00E27AE7">
              <w:rPr>
                <w:rFonts w:ascii="TimesNewRomanPSMT" w:eastAsia="Calibri" w:hAnsi="TimesNewRomanPSMT" w:cs="TimesNewRomanPSMT"/>
                <w:color w:val="000000"/>
                <w:sz w:val="24"/>
                <w:szCs w:val="24"/>
              </w:rPr>
              <w:lastRenderedPageBreak/>
              <w:t>vybaveno na špičkové evropské úrovni díky alternativním finančním zdrojům disponuje zázemím</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s technickým vybavením pokrývajícím současné metody průzkumů a restaurátorských technik. V rámci průzkumů zaměřených na materiálový stav je využíváno servisu chemicko-technologické laboratoře, která</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připravuje potřebné laboratorní analýzy.</w:t>
            </w:r>
          </w:p>
          <w:p w14:paraId="6136B6AE" w14:textId="27A249B3" w:rsidR="00E27AE7" w:rsidRPr="00E27AE7" w:rsidRDefault="00E27AE7" w:rsidP="007920D9">
            <w:pPr>
              <w:autoSpaceDE w:val="0"/>
              <w:autoSpaceDN w:val="0"/>
              <w:adjustRightInd w:val="0"/>
              <w:spacing w:before="60" w:line="276" w:lineRule="auto"/>
              <w:rPr>
                <w:rFonts w:ascii="TimesNewRomanPSMT" w:eastAsia="Calibri" w:hAnsi="TimesNewRomanPSMT" w:cs="TimesNewRomanPSMT"/>
                <w:color w:val="000000"/>
                <w:sz w:val="24"/>
                <w:szCs w:val="24"/>
              </w:rPr>
            </w:pPr>
            <w:r w:rsidRPr="00E27AE7">
              <w:rPr>
                <w:rFonts w:ascii="TimesNewRomanPSMT" w:eastAsia="Calibri" w:hAnsi="TimesNewRomanPSMT" w:cs="TimesNewRomanPSMT"/>
                <w:color w:val="000000"/>
                <w:sz w:val="24"/>
                <w:szCs w:val="24"/>
              </w:rPr>
              <w:t>V následujících letech NGP čeká celá řada stěžejních projektů, které se nepodařilo během období 2019</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až 2023 realizovat a mají umožnit zásadní kvalitativní změnu v jejím fungování. Jde o náročné úkoly,</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jako jsou rekonstrukce hlavních budov, kde jsou umístěny expozice a vybavená pracoviště pro odbornou</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činnost (Veletržní palác) nebo vybudování nového centrálního sbírkového depozitáře v Jinonicích, kde</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by mělo vzniknout plně vybavené moderní restaurátorské pracoviště.</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Zásadní modernizací a posílením prochází díky mezinárodnímu projektu LINDAT-CLARIAH-CZ IT</w:t>
            </w:r>
          </w:p>
          <w:p w14:paraId="15418157" w14:textId="391F5C20" w:rsidR="00AE5BD2" w:rsidRPr="00E27AE7" w:rsidRDefault="00E27AE7" w:rsidP="007920D9">
            <w:pPr>
              <w:autoSpaceDE w:val="0"/>
              <w:autoSpaceDN w:val="0"/>
              <w:adjustRightInd w:val="0"/>
              <w:spacing w:before="60" w:line="276" w:lineRule="auto"/>
              <w:rPr>
                <w:rFonts w:ascii="TimesNewRomanPSMT" w:eastAsia="Calibri" w:hAnsi="TimesNewRomanPSMT" w:cs="TimesNewRomanPSMT"/>
                <w:color w:val="000000"/>
                <w:sz w:val="24"/>
                <w:szCs w:val="24"/>
              </w:rPr>
            </w:pPr>
            <w:r w:rsidRPr="00E27AE7">
              <w:rPr>
                <w:rFonts w:ascii="TimesNewRomanPSMT" w:eastAsia="Calibri" w:hAnsi="TimesNewRomanPSMT" w:cs="TimesNewRomanPSMT"/>
                <w:color w:val="000000"/>
                <w:sz w:val="24"/>
                <w:szCs w:val="24"/>
              </w:rPr>
              <w:t>struktura a vybavení. Dlouhodobě probíhá digitalizace: evidence sbírkových předmětů,</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archivních fondů,</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knihovního fondu, registrátorských činností, administrace sbírek obecně pro nejrůznější účely a v</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neposlední řadě pro potřeby výzkumu. Kybernetická odolnost NGP průběžně roste. Odborníci z</w:t>
            </w:r>
            <w:r>
              <w:rPr>
                <w:rFonts w:ascii="TimesNewRomanPSMT" w:eastAsia="Calibri" w:hAnsi="TimesNewRomanPSMT" w:cs="TimesNewRomanPSMT"/>
                <w:color w:val="000000"/>
                <w:sz w:val="24"/>
                <w:szCs w:val="24"/>
              </w:rPr>
              <w:t> </w:t>
            </w:r>
            <w:r w:rsidRPr="00E27AE7">
              <w:rPr>
                <w:rFonts w:ascii="TimesNewRomanPSMT" w:eastAsia="Calibri" w:hAnsi="TimesNewRomanPSMT" w:cs="TimesNewRomanPSMT"/>
                <w:color w:val="000000"/>
                <w:sz w:val="24"/>
                <w:szCs w:val="24"/>
              </w:rPr>
              <w:t>IT</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oddělení postupují na základě dlouhodobého plánu a připravují infrastrukturu pro institucionální depozitář</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a zajištění předpokladů tzv. Open science prostředí.</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Díky provozním prostředkům a finanční podpoře z NPO probíhají práce na pořízení nového centrálního</w:t>
            </w:r>
            <w:r>
              <w:rPr>
                <w:rFonts w:ascii="TimesNewRomanPSMT" w:eastAsia="Calibri" w:hAnsi="TimesNewRomanPSMT" w:cs="TimesNewRomanPSMT"/>
                <w:color w:val="000000"/>
                <w:sz w:val="24"/>
                <w:szCs w:val="24"/>
              </w:rPr>
              <w:t xml:space="preserve"> </w:t>
            </w:r>
            <w:r w:rsidRPr="00E27AE7">
              <w:rPr>
                <w:rFonts w:ascii="TimesNewRomanPSMT" w:eastAsia="Calibri" w:hAnsi="TimesNewRomanPSMT" w:cs="TimesNewRomanPSMT"/>
                <w:color w:val="000000"/>
                <w:sz w:val="24"/>
                <w:szCs w:val="24"/>
              </w:rPr>
              <w:t>sbírkového systému. Těsně před dokončením rozsáhlé rekonstrukce se nachází oddělení fotografické dokumentace.</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7E1A913A" w:rsidR="00A4196A" w:rsidRPr="0001252B" w:rsidRDefault="00830FC7" w:rsidP="007E0BD2">
            <w:pPr>
              <w:pStyle w:val="Zkladntext"/>
              <w:keepNext/>
              <w:spacing w:before="60" w:line="276" w:lineRule="auto"/>
              <w:jc w:val="center"/>
              <w:rPr>
                <w:b/>
                <w:sz w:val="28"/>
                <w:szCs w:val="28"/>
              </w:rPr>
            </w:pPr>
            <w:r>
              <w:rPr>
                <w:b/>
                <w:sz w:val="28"/>
                <w:szCs w:val="28"/>
              </w:rPr>
              <w:t>A</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18DEB580" w:rsidR="00497F0D" w:rsidRPr="00147F27" w:rsidRDefault="009D23AF" w:rsidP="00147F27">
            <w:pPr>
              <w:spacing w:before="60" w:line="276" w:lineRule="auto"/>
              <w:jc w:val="both"/>
              <w:rPr>
                <w:sz w:val="24"/>
                <w:szCs w:val="24"/>
              </w:rPr>
            </w:pPr>
            <w:r w:rsidRPr="00147F27">
              <w:rPr>
                <w:sz w:val="24"/>
                <w:szCs w:val="24"/>
              </w:rPr>
              <w:t>Celkově je výzkumné prostředí hodnoceno stupně</w:t>
            </w:r>
            <w:r w:rsidR="00830FC7" w:rsidRPr="00147F27">
              <w:rPr>
                <w:sz w:val="24"/>
                <w:szCs w:val="24"/>
              </w:rPr>
              <w:t>m A</w:t>
            </w:r>
            <w:r w:rsidR="00147F27" w:rsidRPr="00147F27">
              <w:rPr>
                <w:sz w:val="24"/>
                <w:szCs w:val="24"/>
              </w:rPr>
              <w:t xml:space="preserve">. </w:t>
            </w:r>
            <w:r w:rsidR="0086698E" w:rsidRPr="00330CA4">
              <w:rPr>
                <w:sz w:val="24"/>
                <w:szCs w:val="24"/>
              </w:rPr>
              <w:t xml:space="preserve">Věda a výzkum představují </w:t>
            </w:r>
            <w:r w:rsidR="0086698E">
              <w:rPr>
                <w:sz w:val="24"/>
                <w:szCs w:val="24"/>
              </w:rPr>
              <w:t>významnou</w:t>
            </w:r>
            <w:r w:rsidR="0086698E" w:rsidRPr="00330CA4">
              <w:rPr>
                <w:sz w:val="24"/>
                <w:szCs w:val="24"/>
              </w:rPr>
              <w:t xml:space="preserve"> složku institucionální činnosti NGP, která je pevně ukotvena v zákonu o Národní galerii v Praze (č. 148/1949 Sb.) a ve statutu organizace. Ve výzkumném prostředí NGP dlouhodobě </w:t>
            </w:r>
            <w:r w:rsidR="0086698E">
              <w:rPr>
                <w:sz w:val="24"/>
                <w:szCs w:val="24"/>
              </w:rPr>
              <w:t>k</w:t>
            </w:r>
            <w:r w:rsidR="0086698E" w:rsidRPr="00330CA4">
              <w:rPr>
                <w:sz w:val="24"/>
                <w:szCs w:val="24"/>
              </w:rPr>
              <w:t>oncepčně rozvíjí a podporuje odbornou činnost sbírek, chemicko-technologické laboratoře, restaurátorského oddělení, edičního oddělení, archivu a knihovny, oddělení rozvoje publika a dalších, které se podílejí na vědecko-výzkumných úkolech základního a aplikovaného výzkumu.</w:t>
            </w:r>
            <w:r w:rsidR="0086698E">
              <w:rPr>
                <w:sz w:val="24"/>
                <w:szCs w:val="24"/>
              </w:rPr>
              <w:t xml:space="preserve"> Zároveň </w:t>
            </w:r>
            <w:r w:rsidR="0086698E" w:rsidRPr="00330CA4">
              <w:rPr>
                <w:sz w:val="24"/>
                <w:szCs w:val="24"/>
              </w:rPr>
              <w:t>klade důraz zejména na systematické budování infrastruktury (činnost vědecké rady, ediční rady, podpora vědecko-výzkumných konferencí), digitalizaci a řešení elektronické formy publikování vědeckých výsledků NGP.</w:t>
            </w:r>
            <w:r w:rsidR="00F26DB4">
              <w:rPr>
                <w:sz w:val="24"/>
                <w:szCs w:val="24"/>
              </w:rPr>
              <w:t xml:space="preserve"> Za silné stránky lze považovat </w:t>
            </w:r>
            <w:r w:rsidR="0051077C">
              <w:rPr>
                <w:sz w:val="24"/>
                <w:szCs w:val="24"/>
              </w:rPr>
              <w:t>stávající výzkumnou infrastrukturu a jasnou koncepci jejího rozvoje</w:t>
            </w:r>
            <w:r w:rsidR="00D71932">
              <w:rPr>
                <w:sz w:val="24"/>
                <w:szCs w:val="24"/>
              </w:rPr>
              <w:t xml:space="preserve"> a modernizace</w:t>
            </w:r>
            <w:r w:rsidR="0051077C">
              <w:rPr>
                <w:sz w:val="24"/>
                <w:szCs w:val="24"/>
              </w:rPr>
              <w:t>,</w:t>
            </w:r>
            <w:r w:rsidR="00D71932">
              <w:rPr>
                <w:sz w:val="24"/>
                <w:szCs w:val="24"/>
              </w:rPr>
              <w:t xml:space="preserve"> personální rozvoj</w:t>
            </w:r>
            <w:r w:rsidR="00DB2684">
              <w:rPr>
                <w:sz w:val="24"/>
                <w:szCs w:val="24"/>
              </w:rPr>
              <w:t>, kontinuitu výzkumných činností</w:t>
            </w:r>
            <w:r w:rsidR="00672E9C">
              <w:rPr>
                <w:sz w:val="24"/>
                <w:szCs w:val="24"/>
              </w:rPr>
              <w:t>,</w:t>
            </w:r>
            <w:r w:rsidR="00DB2684">
              <w:rPr>
                <w:sz w:val="24"/>
                <w:szCs w:val="24"/>
              </w:rPr>
              <w:t xml:space="preserve"> uplatňování hodnotných výsledků</w:t>
            </w:r>
            <w:r w:rsidR="00672E9C">
              <w:rPr>
                <w:sz w:val="24"/>
                <w:szCs w:val="24"/>
              </w:rPr>
              <w:t xml:space="preserve"> a schopnost instituce</w:t>
            </w:r>
            <w:r w:rsidR="00492A5B">
              <w:rPr>
                <w:sz w:val="24"/>
                <w:szCs w:val="24"/>
              </w:rPr>
              <w:t xml:space="preserve"> vyrovnávat se se změnami vnějšího prostředí</w:t>
            </w:r>
            <w:r w:rsidR="00DB2684">
              <w:rPr>
                <w:sz w:val="24"/>
                <w:szCs w:val="24"/>
              </w:rPr>
              <w:t>.</w:t>
            </w:r>
            <w:r w:rsidR="0051077C">
              <w:rPr>
                <w:sz w:val="24"/>
                <w:szCs w:val="24"/>
              </w:rPr>
              <w:t xml:space="preserve"> </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7920D9">
        <w:trPr>
          <w:trHeight w:val="426"/>
        </w:trPr>
        <w:tc>
          <w:tcPr>
            <w:tcW w:w="8930" w:type="dxa"/>
            <w:shd w:val="clear" w:color="auto" w:fill="DEEAF6" w:themeFill="accent1" w:themeFillTint="33"/>
          </w:tcPr>
          <w:p w14:paraId="7088F2F2" w14:textId="77777777" w:rsidR="00246E17" w:rsidRPr="00246E17" w:rsidRDefault="00246E17" w:rsidP="00246E17">
            <w:pPr>
              <w:widowControl w:val="0"/>
              <w:suppressAutoHyphens/>
              <w:spacing w:before="60" w:line="276" w:lineRule="auto"/>
              <w:jc w:val="both"/>
              <w:rPr>
                <w:sz w:val="24"/>
                <w:szCs w:val="24"/>
              </w:rPr>
            </w:pPr>
            <w:r w:rsidRPr="00246E17">
              <w:rPr>
                <w:sz w:val="24"/>
                <w:szCs w:val="24"/>
              </w:rPr>
              <w:lastRenderedPageBreak/>
              <w:t xml:space="preserve">NGP si dlouhodobě udržuje přední pozici v mezinárodní spolupráci. Převážná část zahraniční spolupráce probíhá na poli výstavních a publikačních projektů </w:t>
            </w:r>
            <w:r w:rsidRPr="00246E17">
              <w:rPr>
                <w:color w:val="000000"/>
                <w:sz w:val="24"/>
                <w:szCs w:val="24"/>
              </w:rPr>
              <w:t>s řadou předních</w:t>
            </w:r>
          </w:p>
          <w:p w14:paraId="1152B81C" w14:textId="5ADDB269" w:rsidR="00A4196A" w:rsidRPr="007920D9" w:rsidRDefault="00246E17" w:rsidP="00246E17">
            <w:pPr>
              <w:pStyle w:val="Zkladntext"/>
              <w:spacing w:before="60" w:line="276" w:lineRule="auto"/>
              <w:jc w:val="both"/>
            </w:pPr>
            <w:r w:rsidRPr="00246E17">
              <w:rPr>
                <w:color w:val="000000"/>
              </w:rPr>
              <w:t>mezinárodních institucí z Velké Británie, Německa a Holandska, Francie, Polska a dalších. Jsou podporovány výměnné pobyty a vědecké stáže odborníků NGP. Zaměstnanci NGP byli v období 2019 až 2023 členy mezinárodních nevládních organizací s výzkumnou dimenzí (ICOM, Bizot Group, CODART apod.). Kvalitu mezinárodní spolupráce podtrhuje významné ocenění Řád umění a literatury ve stupni rytíře za odbornou práci, které obdržela v roce 2022 kurátorka Sbírky umění 19. století a klasické moderny Anna Pravdová</w:t>
            </w:r>
            <w:r w:rsidR="00D62AE2">
              <w:rPr>
                <w:color w:val="000000"/>
              </w:rPr>
              <w:t>.</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7920D9">
        <w:trPr>
          <w:trHeight w:val="426"/>
        </w:trPr>
        <w:tc>
          <w:tcPr>
            <w:tcW w:w="8930" w:type="dxa"/>
            <w:shd w:val="clear" w:color="auto" w:fill="DEEAF6" w:themeFill="accent1" w:themeFillTint="33"/>
          </w:tcPr>
          <w:p w14:paraId="591C5509" w14:textId="717CEDD4" w:rsidR="00A4196A" w:rsidRPr="00571C58" w:rsidRDefault="00FC2CA7" w:rsidP="007E0BD2">
            <w:pPr>
              <w:pStyle w:val="Zkladntext"/>
              <w:spacing w:before="60" w:line="276" w:lineRule="auto"/>
              <w:jc w:val="both"/>
            </w:pPr>
            <w:r>
              <w:t>NGP na národní úrovni spolupracuje s celou řadou akademických ústavů a univerzitních pracovišť jak humanitního, tak přírodovědného zaměření. Podrobně popsaná spolupráce s rozsáhlým spektrem VO je uvedena v příloze PZ.</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27B81E7E" w:rsidR="00A4196A" w:rsidRPr="0001252B" w:rsidRDefault="0003694B" w:rsidP="007E0BD2">
            <w:pPr>
              <w:pStyle w:val="Zkladntext"/>
              <w:keepNext/>
              <w:spacing w:before="60" w:line="276" w:lineRule="auto"/>
              <w:jc w:val="center"/>
              <w:rPr>
                <w:b/>
                <w:sz w:val="28"/>
                <w:szCs w:val="28"/>
              </w:rPr>
            </w:pPr>
            <w:r>
              <w:rPr>
                <w:b/>
                <w:sz w:val="28"/>
                <w:szCs w:val="28"/>
              </w:rPr>
              <w:t>A</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67515FA4" w:rsidR="00A4196A" w:rsidRPr="00437AC0" w:rsidRDefault="003C6A20" w:rsidP="00133275">
            <w:pPr>
              <w:pStyle w:val="Zkladntext"/>
              <w:spacing w:before="60" w:line="276" w:lineRule="auto"/>
              <w:jc w:val="both"/>
              <w:rPr>
                <w:b/>
              </w:rPr>
            </w:pPr>
            <w:r w:rsidRPr="001A38EA">
              <w:t xml:space="preserve">Celkově je </w:t>
            </w:r>
            <w:r w:rsidR="00133275">
              <w:t>m</w:t>
            </w:r>
            <w:r w:rsidRPr="001A38EA">
              <w:t xml:space="preserve">ezinárodní a národní spolupráce hodnocena </w:t>
            </w:r>
            <w:r w:rsidR="00133275">
              <w:t xml:space="preserve">stupněm </w:t>
            </w:r>
            <w:r>
              <w:t>A</w:t>
            </w:r>
            <w:r w:rsidRPr="001A38EA">
              <w:t>, přičemž za hlavní silné stránky lze považovat</w:t>
            </w:r>
            <w:r>
              <w:t xml:space="preserve"> </w:t>
            </w:r>
            <w:r w:rsidR="006E6CD3">
              <w:t xml:space="preserve">rozsah a výsledky </w:t>
            </w:r>
            <w:r>
              <w:t>m</w:t>
            </w:r>
            <w:r w:rsidRPr="001A38EA">
              <w:t>ezinárodní spoluprác</w:t>
            </w:r>
            <w:r w:rsidR="006E6CD3">
              <w:t>e</w:t>
            </w:r>
            <w:r w:rsidRPr="001A38EA">
              <w:t xml:space="preserve">. </w:t>
            </w:r>
            <w:r w:rsidRPr="00330CA4">
              <w:t xml:space="preserve">Na národní úrovni NGP dlouhodobě spolupracuje s předními výzkumnými organizacemi České republiky a </w:t>
            </w:r>
            <w:r>
              <w:t>nejvýznamnějšími</w:t>
            </w:r>
            <w:r w:rsidRPr="00330CA4">
              <w:t xml:space="preserve"> tuzemskými univerzitami.</w:t>
            </w:r>
            <w:r>
              <w:t xml:space="preserve"> </w:t>
            </w:r>
            <w:r w:rsidRPr="00330CA4">
              <w:t xml:space="preserve">NGP si v segmentu příspěvkových organizací dlouhodobě udržuje </w:t>
            </w:r>
            <w:r>
              <w:t>čelnou</w:t>
            </w:r>
            <w:r w:rsidRPr="00330CA4">
              <w:t xml:space="preserve"> pozici v mezinárodní spolupráci, kterou se snaží nejen udržet, ale také dále prostřednictvím mezinárodních vědeckých a výstavních projektů systematicky rozvíjet. Instituce dlouhodobě spolupracuje s</w:t>
            </w:r>
            <w:r>
              <w:t xml:space="preserve"> významnými</w:t>
            </w:r>
            <w:r w:rsidRPr="00330CA4">
              <w:t xml:space="preserve"> mezinárodními galeriemi a muzei výtvarného umění na přípravě společných odborných, výstavních a publikačních projektů. Řada odborných výstupů (výstavních a expozičních katalogů, knih, studií) je publikována anglicky nebo v jiných světových jazycích.</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5A13DB">
        <w:t xml:space="preserve">Srovnání všech </w:t>
      </w:r>
      <w:r w:rsidRPr="005A13DB">
        <w:rPr>
          <w:b/>
        </w:rPr>
        <w:t xml:space="preserve">plánovaných </w:t>
      </w:r>
      <w:r w:rsidRPr="005A13DB">
        <w:t xml:space="preserve">a </w:t>
      </w:r>
      <w:r w:rsidRPr="005A13DB">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3260"/>
        <w:gridCol w:w="2268"/>
        <w:gridCol w:w="2146"/>
        <w:gridCol w:w="1239"/>
      </w:tblGrid>
      <w:tr w:rsidR="00201252" w14:paraId="5AE8FE7C" w14:textId="77777777" w:rsidTr="00396421">
        <w:trPr>
          <w:trHeight w:val="513"/>
          <w:tblHeader/>
        </w:trPr>
        <w:tc>
          <w:tcPr>
            <w:tcW w:w="3260"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68"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146"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1239"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396421">
        <w:tc>
          <w:tcPr>
            <w:tcW w:w="3260" w:type="dxa"/>
            <w:tcBorders>
              <w:top w:val="single" w:sz="12" w:space="0" w:color="auto"/>
              <w:bottom w:val="single" w:sz="4" w:space="0" w:color="auto"/>
            </w:tcBorders>
            <w:hideMark/>
          </w:tcPr>
          <w:p w14:paraId="3777BE41" w14:textId="1B21AFDD" w:rsidR="00201252" w:rsidRPr="00602A95" w:rsidRDefault="00437397" w:rsidP="00E3712D">
            <w:r>
              <w:t>č</w:t>
            </w:r>
            <w:r w:rsidR="00DE7256">
              <w:t>. 1</w:t>
            </w:r>
            <w:r w:rsidR="00396421">
              <w:t xml:space="preserve"> Staré umění</w:t>
            </w:r>
          </w:p>
        </w:tc>
        <w:tc>
          <w:tcPr>
            <w:tcW w:w="2268" w:type="dxa"/>
            <w:tcBorders>
              <w:top w:val="single" w:sz="12" w:space="0" w:color="auto"/>
              <w:bottom w:val="single" w:sz="4" w:space="0" w:color="auto"/>
            </w:tcBorders>
          </w:tcPr>
          <w:p w14:paraId="07CAA0FA" w14:textId="04B7DF94" w:rsidR="00201252" w:rsidRPr="00602A95" w:rsidRDefault="00396421" w:rsidP="00396421">
            <w:pPr>
              <w:jc w:val="center"/>
            </w:pPr>
            <w:r>
              <w:t>5xB, 4xJ, 5xS</w:t>
            </w:r>
          </w:p>
        </w:tc>
        <w:tc>
          <w:tcPr>
            <w:tcW w:w="2146" w:type="dxa"/>
            <w:tcBorders>
              <w:top w:val="single" w:sz="12" w:space="0" w:color="auto"/>
              <w:bottom w:val="single" w:sz="4" w:space="0" w:color="auto"/>
            </w:tcBorders>
          </w:tcPr>
          <w:p w14:paraId="06A241D1" w14:textId="36423293" w:rsidR="00201252" w:rsidRPr="00602A95" w:rsidRDefault="00396421" w:rsidP="00396421">
            <w:pPr>
              <w:jc w:val="center"/>
            </w:pPr>
            <w:r>
              <w:t>5xB, 4xJ, 5xS</w:t>
            </w:r>
          </w:p>
        </w:tc>
        <w:tc>
          <w:tcPr>
            <w:tcW w:w="1239" w:type="dxa"/>
            <w:tcBorders>
              <w:top w:val="single" w:sz="12" w:space="0" w:color="auto"/>
              <w:bottom w:val="single" w:sz="4" w:space="0" w:color="auto"/>
            </w:tcBorders>
          </w:tcPr>
          <w:p w14:paraId="19C3A866" w14:textId="3D634D6B" w:rsidR="00201252" w:rsidRPr="00602A95" w:rsidRDefault="00201252" w:rsidP="00437397"/>
        </w:tc>
      </w:tr>
      <w:tr w:rsidR="00396421" w:rsidRPr="00602A95" w14:paraId="4EFD564F" w14:textId="77777777" w:rsidTr="00396421">
        <w:tc>
          <w:tcPr>
            <w:tcW w:w="3260" w:type="dxa"/>
            <w:tcBorders>
              <w:top w:val="single" w:sz="4" w:space="0" w:color="auto"/>
              <w:bottom w:val="single" w:sz="4" w:space="0" w:color="auto"/>
            </w:tcBorders>
          </w:tcPr>
          <w:p w14:paraId="4007AF3B" w14:textId="1E30F5A3" w:rsidR="00396421" w:rsidRDefault="00396421" w:rsidP="00E3712D">
            <w:r>
              <w:t>č. 2 Umění 19. století a klasické moderny</w:t>
            </w:r>
          </w:p>
        </w:tc>
        <w:tc>
          <w:tcPr>
            <w:tcW w:w="2268" w:type="dxa"/>
            <w:tcBorders>
              <w:top w:val="single" w:sz="4" w:space="0" w:color="auto"/>
              <w:bottom w:val="single" w:sz="4" w:space="0" w:color="auto"/>
            </w:tcBorders>
          </w:tcPr>
          <w:p w14:paraId="01DA37D7" w14:textId="16AF1BCD" w:rsidR="00396421" w:rsidRDefault="00FD2159" w:rsidP="00396421">
            <w:pPr>
              <w:jc w:val="center"/>
            </w:pPr>
            <w:r>
              <w:t>5xB, 2xJ, 1xS, 4xEkrit</w:t>
            </w:r>
          </w:p>
        </w:tc>
        <w:tc>
          <w:tcPr>
            <w:tcW w:w="2146" w:type="dxa"/>
            <w:tcBorders>
              <w:top w:val="single" w:sz="4" w:space="0" w:color="auto"/>
              <w:bottom w:val="single" w:sz="4" w:space="0" w:color="auto"/>
            </w:tcBorders>
          </w:tcPr>
          <w:p w14:paraId="2B9CD892" w14:textId="5D9E9D25" w:rsidR="00396421" w:rsidRDefault="00396421" w:rsidP="00396421">
            <w:pPr>
              <w:jc w:val="center"/>
            </w:pPr>
            <w:r>
              <w:t>5xB, 2xJ, 1xS</w:t>
            </w:r>
            <w:r w:rsidR="00FD2159">
              <w:t>, 4xEkrit</w:t>
            </w:r>
          </w:p>
        </w:tc>
        <w:tc>
          <w:tcPr>
            <w:tcW w:w="1239" w:type="dxa"/>
            <w:tcBorders>
              <w:top w:val="single" w:sz="4" w:space="0" w:color="auto"/>
              <w:bottom w:val="single" w:sz="4" w:space="0" w:color="auto"/>
            </w:tcBorders>
          </w:tcPr>
          <w:p w14:paraId="3B2D2BFD" w14:textId="77777777" w:rsidR="00396421" w:rsidRPr="00602A95" w:rsidRDefault="00396421" w:rsidP="00437397"/>
        </w:tc>
      </w:tr>
      <w:tr w:rsidR="00396421" w:rsidRPr="00602A95" w14:paraId="348C6B6E" w14:textId="77777777" w:rsidTr="00396421">
        <w:tc>
          <w:tcPr>
            <w:tcW w:w="3260" w:type="dxa"/>
            <w:tcBorders>
              <w:top w:val="single" w:sz="4" w:space="0" w:color="auto"/>
              <w:bottom w:val="single" w:sz="4" w:space="0" w:color="auto"/>
            </w:tcBorders>
          </w:tcPr>
          <w:p w14:paraId="2CE13360" w14:textId="11CE685D" w:rsidR="00396421" w:rsidRDefault="00396421" w:rsidP="00396421">
            <w:r>
              <w:t>č. 3 Moderní a současné umění</w:t>
            </w:r>
          </w:p>
        </w:tc>
        <w:tc>
          <w:tcPr>
            <w:tcW w:w="2268" w:type="dxa"/>
            <w:tcBorders>
              <w:top w:val="single" w:sz="4" w:space="0" w:color="auto"/>
              <w:bottom w:val="single" w:sz="4" w:space="0" w:color="auto"/>
            </w:tcBorders>
          </w:tcPr>
          <w:p w14:paraId="567CBFBE" w14:textId="39A639EB" w:rsidR="00396421" w:rsidRDefault="00FD2159" w:rsidP="00396421">
            <w:pPr>
              <w:jc w:val="center"/>
            </w:pPr>
            <w:r>
              <w:t>2xB, 1xJ, 1xS, 2xEkrit</w:t>
            </w:r>
          </w:p>
        </w:tc>
        <w:tc>
          <w:tcPr>
            <w:tcW w:w="2146" w:type="dxa"/>
            <w:tcBorders>
              <w:top w:val="single" w:sz="4" w:space="0" w:color="auto"/>
              <w:bottom w:val="single" w:sz="4" w:space="0" w:color="auto"/>
            </w:tcBorders>
          </w:tcPr>
          <w:p w14:paraId="0AD4BC03" w14:textId="09EF4FAD" w:rsidR="00396421" w:rsidRDefault="00396421" w:rsidP="00396421">
            <w:pPr>
              <w:jc w:val="center"/>
            </w:pPr>
            <w:r>
              <w:t>2xB, 1xJ, 1xS</w:t>
            </w:r>
            <w:r w:rsidR="00FD2159">
              <w:t>, 2xEkrit</w:t>
            </w:r>
          </w:p>
        </w:tc>
        <w:tc>
          <w:tcPr>
            <w:tcW w:w="1239" w:type="dxa"/>
            <w:tcBorders>
              <w:top w:val="single" w:sz="4" w:space="0" w:color="auto"/>
              <w:bottom w:val="single" w:sz="4" w:space="0" w:color="auto"/>
            </w:tcBorders>
          </w:tcPr>
          <w:p w14:paraId="1E3D665B" w14:textId="77777777" w:rsidR="00396421" w:rsidRPr="00602A95" w:rsidRDefault="00396421" w:rsidP="00396421"/>
        </w:tc>
      </w:tr>
      <w:tr w:rsidR="00396421" w:rsidRPr="00602A95" w14:paraId="2C656339" w14:textId="77777777" w:rsidTr="00396421">
        <w:tc>
          <w:tcPr>
            <w:tcW w:w="3260" w:type="dxa"/>
            <w:tcBorders>
              <w:top w:val="single" w:sz="4" w:space="0" w:color="auto"/>
              <w:bottom w:val="single" w:sz="4" w:space="0" w:color="auto"/>
            </w:tcBorders>
          </w:tcPr>
          <w:p w14:paraId="6BD896E0" w14:textId="25FABEB3" w:rsidR="00396421" w:rsidRDefault="00396421" w:rsidP="00396421">
            <w:r>
              <w:lastRenderedPageBreak/>
              <w:t>č. 4 Umění grafiky a kresby</w:t>
            </w:r>
          </w:p>
        </w:tc>
        <w:tc>
          <w:tcPr>
            <w:tcW w:w="2268" w:type="dxa"/>
            <w:tcBorders>
              <w:top w:val="single" w:sz="4" w:space="0" w:color="auto"/>
              <w:bottom w:val="single" w:sz="4" w:space="0" w:color="auto"/>
            </w:tcBorders>
          </w:tcPr>
          <w:p w14:paraId="6F20FB92" w14:textId="3DF13447" w:rsidR="00396421" w:rsidRDefault="00396421" w:rsidP="00396421">
            <w:pPr>
              <w:jc w:val="center"/>
            </w:pPr>
            <w:r>
              <w:t>5xB, 2xJ, 2xS</w:t>
            </w:r>
            <w:r w:rsidR="00FD2159">
              <w:t>, 3xEkrit</w:t>
            </w:r>
          </w:p>
        </w:tc>
        <w:tc>
          <w:tcPr>
            <w:tcW w:w="2146" w:type="dxa"/>
            <w:tcBorders>
              <w:top w:val="single" w:sz="4" w:space="0" w:color="auto"/>
              <w:bottom w:val="single" w:sz="4" w:space="0" w:color="auto"/>
            </w:tcBorders>
          </w:tcPr>
          <w:p w14:paraId="5F5FF4F7" w14:textId="15C9A548" w:rsidR="00396421" w:rsidRDefault="00FD2159" w:rsidP="00396421">
            <w:pPr>
              <w:jc w:val="center"/>
            </w:pPr>
            <w:r>
              <w:t>5xB, 2xJ, 2xS, 3xEkrit</w:t>
            </w:r>
          </w:p>
        </w:tc>
        <w:tc>
          <w:tcPr>
            <w:tcW w:w="1239" w:type="dxa"/>
            <w:tcBorders>
              <w:top w:val="single" w:sz="4" w:space="0" w:color="auto"/>
              <w:bottom w:val="single" w:sz="4" w:space="0" w:color="auto"/>
            </w:tcBorders>
          </w:tcPr>
          <w:p w14:paraId="7F459B57" w14:textId="77777777" w:rsidR="00396421" w:rsidRPr="00602A95" w:rsidRDefault="00396421" w:rsidP="00396421"/>
        </w:tc>
      </w:tr>
      <w:tr w:rsidR="00396421" w:rsidRPr="00602A95" w14:paraId="56B536EF" w14:textId="77777777" w:rsidTr="00396421">
        <w:tc>
          <w:tcPr>
            <w:tcW w:w="3260" w:type="dxa"/>
            <w:tcBorders>
              <w:top w:val="single" w:sz="4" w:space="0" w:color="auto"/>
              <w:bottom w:val="single" w:sz="4" w:space="0" w:color="auto"/>
            </w:tcBorders>
          </w:tcPr>
          <w:p w14:paraId="6C29D90D" w14:textId="01C43476" w:rsidR="00396421" w:rsidRDefault="00396421" w:rsidP="00396421">
            <w:r>
              <w:t>č. 5 Asijské umění</w:t>
            </w:r>
          </w:p>
        </w:tc>
        <w:tc>
          <w:tcPr>
            <w:tcW w:w="2268" w:type="dxa"/>
            <w:tcBorders>
              <w:top w:val="single" w:sz="4" w:space="0" w:color="auto"/>
              <w:bottom w:val="single" w:sz="4" w:space="0" w:color="auto"/>
            </w:tcBorders>
          </w:tcPr>
          <w:p w14:paraId="1C78BA84" w14:textId="3AA3C862" w:rsidR="00396421" w:rsidRDefault="00FD2159" w:rsidP="00396421">
            <w:pPr>
              <w:jc w:val="center"/>
            </w:pPr>
            <w:r>
              <w:t>2xB, 3xJ, 2xS</w:t>
            </w:r>
          </w:p>
        </w:tc>
        <w:tc>
          <w:tcPr>
            <w:tcW w:w="2146" w:type="dxa"/>
            <w:tcBorders>
              <w:top w:val="single" w:sz="4" w:space="0" w:color="auto"/>
              <w:bottom w:val="single" w:sz="4" w:space="0" w:color="auto"/>
            </w:tcBorders>
          </w:tcPr>
          <w:p w14:paraId="5E9817EB" w14:textId="478D8976" w:rsidR="00396421" w:rsidRDefault="00396421" w:rsidP="00396421">
            <w:pPr>
              <w:jc w:val="center"/>
            </w:pPr>
            <w:r>
              <w:t>2xB, 3xJ</w:t>
            </w:r>
            <w:r w:rsidR="00FD2159">
              <w:t>, 2xS</w:t>
            </w:r>
          </w:p>
        </w:tc>
        <w:tc>
          <w:tcPr>
            <w:tcW w:w="1239" w:type="dxa"/>
            <w:tcBorders>
              <w:top w:val="single" w:sz="4" w:space="0" w:color="auto"/>
              <w:bottom w:val="single" w:sz="4" w:space="0" w:color="auto"/>
            </w:tcBorders>
          </w:tcPr>
          <w:p w14:paraId="0BDA7488" w14:textId="77777777" w:rsidR="00396421" w:rsidRPr="00602A95" w:rsidRDefault="00396421" w:rsidP="00396421"/>
        </w:tc>
      </w:tr>
      <w:tr w:rsidR="00396421" w:rsidRPr="00602A95" w14:paraId="36C31F31" w14:textId="77777777" w:rsidTr="00396421">
        <w:tc>
          <w:tcPr>
            <w:tcW w:w="3260" w:type="dxa"/>
            <w:tcBorders>
              <w:top w:val="single" w:sz="4" w:space="0" w:color="auto"/>
              <w:bottom w:val="single" w:sz="4" w:space="0" w:color="auto"/>
            </w:tcBorders>
          </w:tcPr>
          <w:p w14:paraId="02137ECA" w14:textId="1FDDC29A" w:rsidR="00396421" w:rsidRDefault="00396421" w:rsidP="00396421">
            <w:r>
              <w:t>č. 6 Komplexní průzkum výtvarných materiálů ve výtvarných objektech od 13. do 19. století a vytvoření databáze mikroskopických a spektroskopických dat</w:t>
            </w:r>
          </w:p>
        </w:tc>
        <w:tc>
          <w:tcPr>
            <w:tcW w:w="2268" w:type="dxa"/>
            <w:tcBorders>
              <w:top w:val="single" w:sz="4" w:space="0" w:color="auto"/>
              <w:bottom w:val="single" w:sz="4" w:space="0" w:color="auto"/>
            </w:tcBorders>
          </w:tcPr>
          <w:p w14:paraId="40F3B950" w14:textId="5326F205" w:rsidR="00396421" w:rsidRDefault="00FD2159" w:rsidP="00396421">
            <w:pPr>
              <w:jc w:val="center"/>
            </w:pPr>
            <w:r>
              <w:t>1xB, 3xJ, 1xS</w:t>
            </w:r>
          </w:p>
        </w:tc>
        <w:tc>
          <w:tcPr>
            <w:tcW w:w="2146" w:type="dxa"/>
            <w:tcBorders>
              <w:top w:val="single" w:sz="4" w:space="0" w:color="auto"/>
              <w:bottom w:val="single" w:sz="4" w:space="0" w:color="auto"/>
            </w:tcBorders>
          </w:tcPr>
          <w:p w14:paraId="6119192A" w14:textId="5E892C5C" w:rsidR="00396421" w:rsidRDefault="00396421" w:rsidP="00396421">
            <w:pPr>
              <w:jc w:val="center"/>
            </w:pPr>
            <w:r>
              <w:t>1xB</w:t>
            </w:r>
            <w:r w:rsidR="00FD2159">
              <w:t>,</w:t>
            </w:r>
            <w:r w:rsidR="00C13F13">
              <w:t xml:space="preserve"> 3xJ,</w:t>
            </w:r>
            <w:r w:rsidR="00FD2159">
              <w:t xml:space="preserve"> 1xS</w:t>
            </w:r>
          </w:p>
        </w:tc>
        <w:tc>
          <w:tcPr>
            <w:tcW w:w="1239" w:type="dxa"/>
            <w:tcBorders>
              <w:top w:val="single" w:sz="4" w:space="0" w:color="auto"/>
              <w:bottom w:val="single" w:sz="4" w:space="0" w:color="auto"/>
            </w:tcBorders>
          </w:tcPr>
          <w:p w14:paraId="1AE74EB4" w14:textId="77777777" w:rsidR="00396421" w:rsidRPr="00602A95" w:rsidRDefault="00396421" w:rsidP="00396421"/>
        </w:tc>
      </w:tr>
      <w:tr w:rsidR="00396421" w:rsidRPr="00602A95" w14:paraId="1CEA5B9D" w14:textId="77777777" w:rsidTr="00396421">
        <w:tc>
          <w:tcPr>
            <w:tcW w:w="3260" w:type="dxa"/>
            <w:tcBorders>
              <w:top w:val="single" w:sz="4" w:space="0" w:color="auto"/>
              <w:bottom w:val="single" w:sz="4" w:space="0" w:color="auto"/>
            </w:tcBorders>
          </w:tcPr>
          <w:p w14:paraId="158E896D" w14:textId="4F984DF9" w:rsidR="00396421" w:rsidRDefault="00396421" w:rsidP="00396421">
            <w:r>
              <w:t>č. 7 7 Zpracování (inventarizace) archivního fondu Národní galerie v Praze z let 1945 až 1990 ve správě NGP</w:t>
            </w:r>
          </w:p>
        </w:tc>
        <w:tc>
          <w:tcPr>
            <w:tcW w:w="2268" w:type="dxa"/>
            <w:tcBorders>
              <w:top w:val="single" w:sz="4" w:space="0" w:color="auto"/>
              <w:bottom w:val="single" w:sz="4" w:space="0" w:color="auto"/>
            </w:tcBorders>
          </w:tcPr>
          <w:p w14:paraId="183AD498" w14:textId="5CEFF8F8" w:rsidR="00396421" w:rsidRDefault="00396421" w:rsidP="00396421">
            <w:pPr>
              <w:jc w:val="center"/>
            </w:pPr>
            <w:r>
              <w:t>2xJ,1xS</w:t>
            </w:r>
          </w:p>
        </w:tc>
        <w:tc>
          <w:tcPr>
            <w:tcW w:w="2146" w:type="dxa"/>
            <w:tcBorders>
              <w:top w:val="single" w:sz="4" w:space="0" w:color="auto"/>
              <w:bottom w:val="single" w:sz="4" w:space="0" w:color="auto"/>
            </w:tcBorders>
          </w:tcPr>
          <w:p w14:paraId="23FA9553" w14:textId="058F6B7C" w:rsidR="00396421" w:rsidRDefault="00396421" w:rsidP="00396421">
            <w:pPr>
              <w:jc w:val="center"/>
            </w:pPr>
            <w:r>
              <w:t>2xJ,1xS</w:t>
            </w:r>
          </w:p>
        </w:tc>
        <w:tc>
          <w:tcPr>
            <w:tcW w:w="1239" w:type="dxa"/>
            <w:tcBorders>
              <w:top w:val="single" w:sz="4" w:space="0" w:color="auto"/>
              <w:bottom w:val="single" w:sz="4" w:space="0" w:color="auto"/>
            </w:tcBorders>
          </w:tcPr>
          <w:p w14:paraId="5F3F5D47" w14:textId="77777777" w:rsidR="00396421" w:rsidRPr="00602A95" w:rsidRDefault="00396421" w:rsidP="00396421"/>
        </w:tc>
      </w:tr>
      <w:tr w:rsidR="00396421" w14:paraId="720480F3" w14:textId="77777777" w:rsidTr="00396421">
        <w:tc>
          <w:tcPr>
            <w:tcW w:w="3260" w:type="dxa"/>
            <w:tcBorders>
              <w:top w:val="single" w:sz="4" w:space="0" w:color="auto"/>
              <w:bottom w:val="single" w:sz="12" w:space="0" w:color="auto"/>
            </w:tcBorders>
          </w:tcPr>
          <w:p w14:paraId="232F3200" w14:textId="40C3050A" w:rsidR="00396421" w:rsidRDefault="00396421" w:rsidP="00396421">
            <w:r>
              <w:t>č. 8 Prezentace výsledků výzkumu a vývoje, podpora vědecko-výzkumné a publikační činnosti pracovníků NGP</w:t>
            </w:r>
          </w:p>
        </w:tc>
        <w:tc>
          <w:tcPr>
            <w:tcW w:w="2268" w:type="dxa"/>
            <w:tcBorders>
              <w:top w:val="single" w:sz="4" w:space="0" w:color="auto"/>
              <w:bottom w:val="single" w:sz="12" w:space="0" w:color="auto"/>
            </w:tcBorders>
          </w:tcPr>
          <w:p w14:paraId="649DEFD5" w14:textId="4547E929" w:rsidR="00396421" w:rsidRDefault="00396421" w:rsidP="00396421">
            <w:pPr>
              <w:jc w:val="center"/>
            </w:pPr>
            <w:r>
              <w:t>1xB, 4xJ</w:t>
            </w:r>
          </w:p>
        </w:tc>
        <w:tc>
          <w:tcPr>
            <w:tcW w:w="2146" w:type="dxa"/>
            <w:tcBorders>
              <w:top w:val="single" w:sz="4" w:space="0" w:color="auto"/>
              <w:bottom w:val="single" w:sz="12" w:space="0" w:color="auto"/>
            </w:tcBorders>
          </w:tcPr>
          <w:p w14:paraId="0F26532D" w14:textId="1677B263" w:rsidR="00396421" w:rsidRDefault="00396421" w:rsidP="00396421">
            <w:pPr>
              <w:jc w:val="center"/>
            </w:pPr>
            <w:r>
              <w:t>1xB, 4xJ</w:t>
            </w:r>
          </w:p>
        </w:tc>
        <w:tc>
          <w:tcPr>
            <w:tcW w:w="1239" w:type="dxa"/>
            <w:tcBorders>
              <w:top w:val="single" w:sz="4" w:space="0" w:color="auto"/>
              <w:bottom w:val="single" w:sz="12" w:space="0" w:color="auto"/>
            </w:tcBorders>
          </w:tcPr>
          <w:p w14:paraId="4C519D18" w14:textId="48FD6D9F" w:rsidR="00396421" w:rsidRDefault="00396421" w:rsidP="00396421"/>
        </w:tc>
      </w:tr>
      <w:tr w:rsidR="00201252" w:rsidRPr="00B22CE2" w14:paraId="430A0312" w14:textId="77777777" w:rsidTr="00396421">
        <w:tc>
          <w:tcPr>
            <w:tcW w:w="3260" w:type="dxa"/>
            <w:tcBorders>
              <w:top w:val="single" w:sz="12" w:space="0" w:color="auto"/>
              <w:bottom w:val="single" w:sz="12" w:space="0" w:color="auto"/>
            </w:tcBorders>
          </w:tcPr>
          <w:p w14:paraId="31D3E550" w14:textId="77777777" w:rsidR="00201252" w:rsidRPr="00B22CE2" w:rsidRDefault="00201252" w:rsidP="00E3712D">
            <w:pPr>
              <w:rPr>
                <w:b/>
              </w:rPr>
            </w:pPr>
            <w:r w:rsidRPr="00B22CE2">
              <w:rPr>
                <w:b/>
              </w:rPr>
              <w:t>Celkem</w:t>
            </w:r>
          </w:p>
        </w:tc>
        <w:tc>
          <w:tcPr>
            <w:tcW w:w="2268" w:type="dxa"/>
            <w:tcBorders>
              <w:top w:val="single" w:sz="12" w:space="0" w:color="auto"/>
              <w:bottom w:val="single" w:sz="12" w:space="0" w:color="auto"/>
            </w:tcBorders>
          </w:tcPr>
          <w:p w14:paraId="2910EB6E" w14:textId="3EDFF413" w:rsidR="00201252" w:rsidRPr="00B22CE2" w:rsidRDefault="00396421" w:rsidP="00C13F13">
            <w:pPr>
              <w:jc w:val="center"/>
              <w:rPr>
                <w:b/>
              </w:rPr>
            </w:pPr>
            <w:r>
              <w:rPr>
                <w:b/>
              </w:rPr>
              <w:t>2</w:t>
            </w:r>
            <w:r w:rsidR="00FD2159">
              <w:rPr>
                <w:b/>
              </w:rPr>
              <w:t>1</w:t>
            </w:r>
            <w:r>
              <w:rPr>
                <w:b/>
              </w:rPr>
              <w:t xml:space="preserve">xB, </w:t>
            </w:r>
            <w:r w:rsidR="00FD2159">
              <w:rPr>
                <w:b/>
              </w:rPr>
              <w:t>2</w:t>
            </w:r>
            <w:r w:rsidR="00C13F13">
              <w:rPr>
                <w:b/>
              </w:rPr>
              <w:t>1</w:t>
            </w:r>
            <w:r w:rsidR="00FD2159">
              <w:rPr>
                <w:b/>
              </w:rPr>
              <w:t>xJ, 13xS, 9xEkrit</w:t>
            </w:r>
          </w:p>
        </w:tc>
        <w:tc>
          <w:tcPr>
            <w:tcW w:w="2146" w:type="dxa"/>
            <w:tcBorders>
              <w:top w:val="single" w:sz="12" w:space="0" w:color="auto"/>
              <w:bottom w:val="single" w:sz="12" w:space="0" w:color="auto"/>
            </w:tcBorders>
          </w:tcPr>
          <w:p w14:paraId="5EDD1DCB" w14:textId="55CF8C80" w:rsidR="00201252" w:rsidRPr="00B22CE2" w:rsidRDefault="00FD2159" w:rsidP="00C13F13">
            <w:pPr>
              <w:jc w:val="center"/>
              <w:rPr>
                <w:b/>
              </w:rPr>
            </w:pPr>
            <w:r>
              <w:rPr>
                <w:b/>
              </w:rPr>
              <w:t>2</w:t>
            </w:r>
            <w:r w:rsidR="00461BC1">
              <w:rPr>
                <w:b/>
              </w:rPr>
              <w:t>1</w:t>
            </w:r>
            <w:r>
              <w:rPr>
                <w:b/>
              </w:rPr>
              <w:t>xB, 21xJ, 13xS, 9xEkrit</w:t>
            </w:r>
          </w:p>
        </w:tc>
        <w:tc>
          <w:tcPr>
            <w:tcW w:w="1239" w:type="dxa"/>
            <w:tcBorders>
              <w:top w:val="single" w:sz="12" w:space="0" w:color="auto"/>
              <w:bottom w:val="single" w:sz="12" w:space="0" w:color="auto"/>
            </w:tcBorders>
          </w:tcPr>
          <w:p w14:paraId="63CCCE0F" w14:textId="5A5D511B" w:rsidR="00201252" w:rsidRPr="00B22CE2" w:rsidRDefault="00201252" w:rsidP="00DD0681">
            <w:pPr>
              <w:rPr>
                <w:b/>
              </w:rPr>
            </w:pP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04F7E672" w14:textId="1C357725" w:rsidR="005639F8" w:rsidRPr="00571C58" w:rsidRDefault="007920D9" w:rsidP="007920D9">
            <w:pPr>
              <w:pStyle w:val="Zkladntext"/>
              <w:spacing w:before="60" w:line="276" w:lineRule="auto"/>
              <w:jc w:val="both"/>
            </w:pPr>
            <w:r>
              <w:t xml:space="preserve">Všechny výsledky </w:t>
            </w:r>
            <w:r w:rsidR="00A13D12">
              <w:t>roku 2023 včetně výsledků plánovaných v předchozích letech řešení koncepce</w:t>
            </w:r>
            <w:r>
              <w:t xml:space="preserve"> </w:t>
            </w:r>
            <w:r w:rsidR="00A13D12">
              <w:t>byly uplatněny</w:t>
            </w:r>
            <w:r>
              <w:t>.</w:t>
            </w:r>
            <w:r w:rsidR="00A13D12">
              <w:t xml:space="preserve"> </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115B2E4D" w14:textId="6A355EC7" w:rsidR="001739DA" w:rsidRDefault="001739DA" w:rsidP="002E668F">
            <w:pPr>
              <w:pStyle w:val="Zkladntext"/>
              <w:spacing w:before="60" w:line="276" w:lineRule="auto"/>
              <w:jc w:val="both"/>
            </w:pPr>
            <w:r>
              <w:t xml:space="preserve">V hodnocení vybraných výsledků na národní úrovni </w:t>
            </w:r>
            <w:r w:rsidR="009500A0">
              <w:t xml:space="preserve">bylo hodnoceno </w:t>
            </w:r>
            <w:r w:rsidR="002E2E15">
              <w:t>2</w:t>
            </w:r>
            <w:r w:rsidR="002F10B8">
              <w:t>8</w:t>
            </w:r>
            <w:r w:rsidR="002651B2">
              <w:t xml:space="preserve"> </w:t>
            </w:r>
            <w:r w:rsidR="003769C3">
              <w:t>p</w:t>
            </w:r>
            <w:r w:rsidR="002651B2">
              <w:t>ublikačních výsledků (1x z</w:t>
            </w:r>
            <w:r w:rsidR="003769C3">
              <w:t>námka 1,</w:t>
            </w:r>
            <w:r w:rsidR="002E2E15">
              <w:t xml:space="preserve"> </w:t>
            </w:r>
            <w:r w:rsidR="003F54A2">
              <w:t>11</w:t>
            </w:r>
            <w:r w:rsidR="0013466E">
              <w:t xml:space="preserve">x známka 2, </w:t>
            </w:r>
            <w:r w:rsidR="00B71EE0">
              <w:t>12</w:t>
            </w:r>
            <w:r w:rsidR="0013466E">
              <w:t xml:space="preserve">x známka 3, </w:t>
            </w:r>
            <w:r w:rsidR="00B71EE0">
              <w:t>5</w:t>
            </w:r>
            <w:r w:rsidR="00DA537C">
              <w:t>x známka 4</w:t>
            </w:r>
            <w:r w:rsidR="003769C3">
              <w:t xml:space="preserve">) a </w:t>
            </w:r>
            <w:r w:rsidR="009E2F28">
              <w:t>1</w:t>
            </w:r>
            <w:r w:rsidR="003769C3">
              <w:t xml:space="preserve"> aplikovaný výsled</w:t>
            </w:r>
            <w:r w:rsidR="009E2F28">
              <w:t>e</w:t>
            </w:r>
            <w:r w:rsidR="003769C3">
              <w:t>k (</w:t>
            </w:r>
            <w:r w:rsidR="009E2F28">
              <w:t>1x známka 2).</w:t>
            </w:r>
          </w:p>
          <w:p w14:paraId="4D50DC8F" w14:textId="2DF0AE15" w:rsidR="0085362B" w:rsidRPr="0085362B" w:rsidRDefault="00EE732C" w:rsidP="0085362B">
            <w:pPr>
              <w:pStyle w:val="Zkladntext"/>
              <w:spacing w:before="60" w:line="276" w:lineRule="auto"/>
              <w:jc w:val="both"/>
            </w:pPr>
            <w:r>
              <w:t xml:space="preserve">Při hodnocení na národní úrovni </w:t>
            </w:r>
            <w:r w:rsidR="00F124CB">
              <w:t xml:space="preserve">v rámci škálování </w:t>
            </w:r>
            <w:r>
              <w:t xml:space="preserve">byla VO hodnocena </w:t>
            </w:r>
            <w:r w:rsidR="00CF7648">
              <w:t>vynikající</w:t>
            </w:r>
            <w:r>
              <w:t xml:space="preserve"> známkou A</w:t>
            </w:r>
            <w:r w:rsidR="00CF7648">
              <w:t>rez</w:t>
            </w:r>
            <w:r>
              <w:rPr>
                <w:i/>
              </w:rPr>
              <w:t>.</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6BBECF9F" w14:textId="77777777" w:rsidR="004941DE" w:rsidRPr="004941DE" w:rsidRDefault="004941DE" w:rsidP="004941DE">
            <w:pPr>
              <w:widowControl w:val="0"/>
              <w:suppressAutoHyphens/>
              <w:spacing w:before="60" w:line="276" w:lineRule="auto"/>
              <w:jc w:val="both"/>
            </w:pPr>
            <w:r w:rsidRPr="004941DE">
              <w:rPr>
                <w:sz w:val="24"/>
                <w:szCs w:val="24"/>
              </w:rPr>
              <w:t>Další specifické výzkumné aktivity NGP podrobně uvádí v kapitole 3.3 závěrečné zprávy. Popularizace a edukační aktivity patří k jedněm ze stěžejních činností NGP. NGP připravila řadu videoprogramů (například virtuální komentované prohlídky, živé přenosy</w:t>
            </w:r>
          </w:p>
          <w:p w14:paraId="116C92A3" w14:textId="2EE0A5A4" w:rsidR="006B24BB" w:rsidRPr="00571C58" w:rsidRDefault="004941DE" w:rsidP="0053601F">
            <w:pPr>
              <w:widowControl w:val="0"/>
              <w:suppressAutoHyphens/>
              <w:spacing w:before="60" w:line="276" w:lineRule="auto"/>
              <w:jc w:val="both"/>
            </w:pPr>
            <w:r w:rsidRPr="004941DE">
              <w:rPr>
                <w:sz w:val="24"/>
                <w:szCs w:val="24"/>
              </w:rPr>
              <w:t xml:space="preserve">přednášek, ale také metodické materiály pro domácí i školní vzdělávání, materiály pro </w:t>
            </w:r>
            <w:r w:rsidRPr="004941DE">
              <w:rPr>
                <w:sz w:val="24"/>
                <w:szCs w:val="24"/>
              </w:rPr>
              <w:lastRenderedPageBreak/>
              <w:t>pedagogy apod.).</w:t>
            </w:r>
            <w:r w:rsidR="00AD5483">
              <w:rPr>
                <w:sz w:val="24"/>
                <w:szCs w:val="24"/>
              </w:rPr>
              <w:t xml:space="preserve"> </w:t>
            </w:r>
            <w:r w:rsidRPr="004941DE">
              <w:rPr>
                <w:sz w:val="24"/>
                <w:szCs w:val="24"/>
              </w:rPr>
              <w:t>V období 2019 až 2023 byla zahájena ediční řada populárně-naučných publikací NGP dětem nebo publikací zaměřených na edukaci dětí a mládeže. V rámci spolupráce s univerzitami a galeriemi poskytli edukátoři a edukátorky podporu náslechových praxí a metodické konzultace či vedení studentů galerijní pedagogiky, výtvarné výchovy či interpretace umění. Lektoři oddělení rozvoje publika prezentovali činnost také na odborných fórech – mezinárodní konferenci ICOM, na konferenci pořádané Asociací muzeí a galerií. Oblast lidských zdrojů v závěrečné zprávě prakticky chybí.</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7C813BE6" w:rsidR="006B24BB" w:rsidRPr="0001252B" w:rsidRDefault="00587377" w:rsidP="007E0BD2">
            <w:pPr>
              <w:pStyle w:val="Zkladntext"/>
              <w:keepNext/>
              <w:spacing w:before="60" w:line="276" w:lineRule="auto"/>
              <w:jc w:val="center"/>
              <w:rPr>
                <w:b/>
                <w:sz w:val="28"/>
                <w:szCs w:val="28"/>
              </w:rPr>
            </w:pPr>
            <w:r>
              <w:rPr>
                <w:b/>
                <w:sz w:val="28"/>
                <w:szCs w:val="28"/>
              </w:rPr>
              <w:t>A</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0ABFD5FF" w:rsidR="006B24BB" w:rsidRPr="00587377" w:rsidRDefault="00587377" w:rsidP="00587377">
            <w:pPr>
              <w:spacing w:before="60" w:line="276" w:lineRule="auto"/>
              <w:jc w:val="both"/>
              <w:rPr>
                <w:sz w:val="24"/>
                <w:szCs w:val="24"/>
              </w:rPr>
            </w:pPr>
            <w:r w:rsidRPr="00A43366">
              <w:rPr>
                <w:sz w:val="24"/>
                <w:szCs w:val="24"/>
              </w:rPr>
              <w:t xml:space="preserve">Celkově je excelence ve výzkumu hodnocena </w:t>
            </w:r>
            <w:r>
              <w:rPr>
                <w:sz w:val="24"/>
                <w:szCs w:val="24"/>
              </w:rPr>
              <w:t>A</w:t>
            </w:r>
            <w:r w:rsidRPr="00A43366">
              <w:rPr>
                <w:sz w:val="24"/>
                <w:szCs w:val="24"/>
              </w:rPr>
              <w:t xml:space="preserve">. </w:t>
            </w:r>
            <w:r w:rsidRPr="00330CA4">
              <w:rPr>
                <w:sz w:val="24"/>
                <w:szCs w:val="24"/>
              </w:rPr>
              <w:t xml:space="preserve">Excelenci ve výzkumu dokládá koncepce v přípravě </w:t>
            </w:r>
            <w:r>
              <w:rPr>
                <w:sz w:val="24"/>
                <w:szCs w:val="24"/>
              </w:rPr>
              <w:t>kvalitních</w:t>
            </w:r>
            <w:r w:rsidRPr="00330CA4">
              <w:rPr>
                <w:sz w:val="24"/>
                <w:szCs w:val="24"/>
              </w:rPr>
              <w:t xml:space="preserve"> výstavních projektů a publikací (s mezinárodní spoluprací nebo ohlasem), v popularizačních vzdělávacích aktivitách a v dalších edukačních a doprovodných programech, v hodnocení organizace na národní úrovni a od zřizovatele a na základě získaných ocenění.</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173A45D8" w14:textId="77777777" w:rsidR="00174FB7" w:rsidRPr="00174FB7" w:rsidRDefault="00174FB7" w:rsidP="00174FB7">
            <w:pPr>
              <w:widowControl w:val="0"/>
              <w:suppressAutoHyphens/>
              <w:spacing w:before="60" w:line="276" w:lineRule="auto"/>
              <w:jc w:val="both"/>
              <w:rPr>
                <w:sz w:val="24"/>
                <w:szCs w:val="24"/>
                <w:highlight w:val="green"/>
              </w:rPr>
            </w:pPr>
            <w:r w:rsidRPr="00174FB7">
              <w:rPr>
                <w:sz w:val="24"/>
                <w:szCs w:val="24"/>
              </w:rPr>
              <w:t>Spolupráce s uživateli výsledků je v závěrečné zprávě popsána úplně, přínosy spolupráce pro VO jsou uvedeny podrobně, VO se intenzivně podílí na transferu znalostí do praxe. Spolupráce s uživateli výsledků je v závěrečné zprávě komplexně popsána, je hodnocena jako nadprůměrná, ze spolupráce s uživateli výsledků lze vyzdvihnout např. spolupráce s</w:t>
            </w:r>
          </w:p>
          <w:p w14:paraId="761DD6A0" w14:textId="24447BF5" w:rsidR="0055220B" w:rsidRPr="0055220B" w:rsidRDefault="00174FB7" w:rsidP="00483ECB">
            <w:pPr>
              <w:spacing w:before="60" w:line="276" w:lineRule="auto"/>
              <w:jc w:val="both"/>
              <w:rPr>
                <w:sz w:val="24"/>
                <w:szCs w:val="24"/>
                <w:highlight w:val="green"/>
              </w:rPr>
            </w:pPr>
            <w:r w:rsidRPr="00174FB7">
              <w:rPr>
                <w:sz w:val="24"/>
                <w:szCs w:val="24"/>
              </w:rPr>
              <w:t>Kriminalistickým ústavem Praha Policie České republiky v rámci programu bezpečnostního výzkumu. Tato spolupráce kvalitativně rozvíjí schopnosti znalecké služby Policie ČR a orgánů činných v trestním řízení při forenzních analýzách padělků, zejména moderního výtvarného umění.</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576B8136" w:rsidR="00790277" w:rsidRPr="00437B09" w:rsidRDefault="00C82405" w:rsidP="00437B09">
            <w:pPr>
              <w:widowControl w:val="0"/>
              <w:suppressAutoHyphens/>
              <w:spacing w:before="60" w:line="276" w:lineRule="auto"/>
              <w:jc w:val="both"/>
              <w:rPr>
                <w:sz w:val="24"/>
                <w:szCs w:val="24"/>
              </w:rPr>
            </w:pPr>
            <w:r w:rsidRPr="00437B09">
              <w:rPr>
                <w:sz w:val="24"/>
                <w:szCs w:val="24"/>
              </w:rPr>
              <w:t>Schopnost získat zdroje mimo IP DKRVO je vysoká (tj. další zdroje jsou výrazně vyšší než IP DKRVO), VO získává většinu prostředků na další rozvoj výzkumu z dalších zdrojů, zejména z projektů v</w:t>
            </w:r>
            <w:r w:rsidR="00B260FD" w:rsidRPr="00437B09">
              <w:rPr>
                <w:sz w:val="24"/>
                <w:szCs w:val="24"/>
              </w:rPr>
              <w:t> </w:t>
            </w:r>
            <w:r w:rsidRPr="00437B09">
              <w:rPr>
                <w:sz w:val="24"/>
                <w:szCs w:val="24"/>
              </w:rPr>
              <w:t>programech</w:t>
            </w:r>
            <w:r w:rsidR="00B260FD" w:rsidRPr="00437B09">
              <w:rPr>
                <w:sz w:val="24"/>
                <w:szCs w:val="24"/>
              </w:rPr>
              <w:t xml:space="preserve"> GA ČR, </w:t>
            </w:r>
            <w:r w:rsidRPr="00437B09">
              <w:rPr>
                <w:sz w:val="24"/>
                <w:szCs w:val="24"/>
              </w:rPr>
              <w:t>MK (NAKI),</w:t>
            </w:r>
            <w:r w:rsidR="00571BDA" w:rsidRPr="00437B09">
              <w:rPr>
                <w:sz w:val="24"/>
                <w:szCs w:val="24"/>
              </w:rPr>
              <w:t xml:space="preserve"> MŠMT, MV</w:t>
            </w:r>
            <w:r w:rsidR="00437B09" w:rsidRPr="00437B09">
              <w:rPr>
                <w:sz w:val="24"/>
                <w:szCs w:val="24"/>
              </w:rPr>
              <w:t>, ESIF a z</w:t>
            </w:r>
            <w:r w:rsidRPr="00437B09">
              <w:rPr>
                <w:sz w:val="24"/>
                <w:szCs w:val="24"/>
              </w:rPr>
              <w:t xml:space="preserve"> transferu </w:t>
            </w:r>
            <w:r w:rsidRPr="00437B09">
              <w:rPr>
                <w:sz w:val="24"/>
                <w:szCs w:val="24"/>
              </w:rPr>
              <w:lastRenderedPageBreak/>
              <w:t>znalostí</w:t>
            </w:r>
            <w:r w:rsidR="00437B09" w:rsidRPr="00437B09">
              <w:rPr>
                <w:sz w:val="24"/>
                <w:szCs w:val="24"/>
              </w:rPr>
              <w:t>.</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630C8FE4" w:rsidR="00636257" w:rsidRPr="002F5098" w:rsidRDefault="002F5098" w:rsidP="002F5098">
            <w:pPr>
              <w:widowControl w:val="0"/>
              <w:suppressAutoHyphens/>
              <w:spacing w:before="60" w:line="276" w:lineRule="auto"/>
              <w:jc w:val="both"/>
              <w:rPr>
                <w:sz w:val="24"/>
                <w:szCs w:val="24"/>
              </w:rPr>
            </w:pPr>
            <w:r w:rsidRPr="002F5098">
              <w:rPr>
                <w:sz w:val="24"/>
                <w:szCs w:val="24"/>
              </w:rPr>
              <w:t>Poskytnutá institucionální podpora na dlouhodobý koncepční rozvoj VO v letech 2019</w:t>
            </w:r>
            <w:r w:rsidRPr="002F5098">
              <w:rPr>
                <w:sz w:val="24"/>
                <w:szCs w:val="24"/>
              </w:rPr>
              <w:noBreakHyphen/>
              <w:t>2023 v celkové výši 25 920 tis. Kč byla čerpána z 99,92</w:t>
            </w:r>
            <w:r w:rsidRPr="002F5098">
              <w:rPr>
                <w:i/>
                <w:sz w:val="24"/>
                <w:szCs w:val="24"/>
              </w:rPr>
              <w:t xml:space="preserve"> %</w:t>
            </w:r>
            <w:r w:rsidRPr="002F5098">
              <w:rPr>
                <w:sz w:val="24"/>
                <w:szCs w:val="24"/>
              </w:rPr>
              <w:t xml:space="preserve"> a využita v souladu s cílem koncepce a platnými předpisy. Nečerpaní podpory ve výši cca 20 tis. Kč bylo řádně odůvodněno</w:t>
            </w:r>
            <w:r w:rsidR="005F6E32">
              <w:rPr>
                <w:sz w:val="24"/>
                <w:szCs w:val="24"/>
              </w:rPr>
              <w:t xml:space="preserve"> (</w:t>
            </w:r>
            <w:r w:rsidR="00EB2183">
              <w:rPr>
                <w:sz w:val="24"/>
                <w:szCs w:val="24"/>
              </w:rPr>
              <w:t xml:space="preserve">jde výhradně o </w:t>
            </w:r>
            <w:r w:rsidR="005F6E32">
              <w:rPr>
                <w:sz w:val="24"/>
                <w:szCs w:val="24"/>
              </w:rPr>
              <w:t>vr</w:t>
            </w:r>
            <w:r w:rsidR="00EB2183">
              <w:rPr>
                <w:sz w:val="24"/>
                <w:szCs w:val="24"/>
              </w:rPr>
              <w:t>atky</w:t>
            </w:r>
            <w:r w:rsidR="00656822">
              <w:rPr>
                <w:sz w:val="24"/>
                <w:szCs w:val="24"/>
              </w:rPr>
              <w:t xml:space="preserve"> týkající se pojištění a FKSP</w:t>
            </w:r>
            <w:r w:rsidR="00EB2183">
              <w:rPr>
                <w:sz w:val="24"/>
                <w:szCs w:val="24"/>
              </w:rPr>
              <w:t>)</w:t>
            </w:r>
            <w:r w:rsidRPr="002F5098">
              <w:rPr>
                <w:sz w:val="24"/>
                <w:szCs w:val="24"/>
              </w:rPr>
              <w:t xml:space="preserve"> a lze je akceptovat</w:t>
            </w:r>
            <w:r w:rsidR="00AD5483">
              <w:rPr>
                <w:sz w:val="24"/>
                <w:szCs w:val="24"/>
              </w:rPr>
              <w:t xml:space="preserve">. </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0EB34C16" w:rsidR="005F77C5" w:rsidRPr="0001252B" w:rsidRDefault="00D121F3" w:rsidP="007E0BD2">
            <w:pPr>
              <w:pStyle w:val="Zkladntext"/>
              <w:keepNext/>
              <w:spacing w:before="60" w:line="276" w:lineRule="auto"/>
              <w:jc w:val="center"/>
              <w:rPr>
                <w:b/>
                <w:sz w:val="28"/>
                <w:szCs w:val="28"/>
              </w:rPr>
            </w:pPr>
            <w:r>
              <w:rPr>
                <w:b/>
                <w:sz w:val="28"/>
                <w:szCs w:val="28"/>
              </w:rPr>
              <w:t>A</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5BB7FBFC" w:rsidR="005F77C5" w:rsidRPr="00437AC0" w:rsidRDefault="00B57B4B" w:rsidP="001C1E17">
            <w:pPr>
              <w:pStyle w:val="Zkladntext"/>
              <w:spacing w:before="60" w:line="276" w:lineRule="auto"/>
              <w:jc w:val="both"/>
              <w:rPr>
                <w:b/>
              </w:rPr>
            </w:pPr>
            <w:r>
              <w:t>Celkově je výkonnost výzkumu hodnocena stupněm A, přičemž za hlavní silné stránky lze považovat vysokou schopnost získat další zdroje na rozvoj výzkumu</w:t>
            </w:r>
            <w:r w:rsidR="00C10E71">
              <w:t xml:space="preserve"> a spolupráce s uživateli výsledků</w:t>
            </w:r>
            <w:r>
              <w:t>. Jako slabší stránky této části plnění koncepce jsou hodnoceny nedočerpání podpory, které je však možné akceptovat</w:t>
            </w:r>
            <w:r w:rsidR="00881A64">
              <w:t xml:space="preserve"> bez výhrady</w:t>
            </w:r>
            <w:r>
              <w:t>.</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63447208" w:rsidR="00EF04EC" w:rsidRPr="0001252B" w:rsidRDefault="00EB7C7F" w:rsidP="007E0BD2">
            <w:pPr>
              <w:pStyle w:val="Zkladntext"/>
              <w:keepNext/>
              <w:spacing w:before="60" w:line="276" w:lineRule="auto"/>
              <w:jc w:val="center"/>
              <w:rPr>
                <w:b/>
                <w:sz w:val="28"/>
                <w:szCs w:val="28"/>
              </w:rPr>
            </w:pPr>
            <w:r>
              <w:rPr>
                <w:b/>
                <w:sz w:val="28"/>
                <w:szCs w:val="28"/>
              </w:rPr>
              <w:t>A</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09795C6E" w:rsidR="0030516F" w:rsidRPr="00437AC0" w:rsidRDefault="000C5199" w:rsidP="000C5199">
            <w:pPr>
              <w:pStyle w:val="Zkladntext"/>
              <w:spacing w:before="60" w:line="276" w:lineRule="auto"/>
              <w:jc w:val="both"/>
              <w:rPr>
                <w:b/>
              </w:rPr>
            </w:pPr>
            <w:r w:rsidRPr="00330CA4">
              <w:t xml:space="preserve">Relevance výzkumu pro společnost a její dopady spočívají v nezastupitelné roli NGP jako </w:t>
            </w:r>
            <w:r>
              <w:t xml:space="preserve">hlavní </w:t>
            </w:r>
            <w:r w:rsidRPr="00330CA4">
              <w:t>paměťové a sbírkotvorné instituce</w:t>
            </w:r>
            <w:r>
              <w:t xml:space="preserve"> v oblasti umění</w:t>
            </w:r>
            <w:r w:rsidRPr="00330CA4">
              <w:t>. NGP působí na společnost prostřednictvím výstav</w:t>
            </w:r>
            <w:r>
              <w:t xml:space="preserve"> a stálých expozic</w:t>
            </w:r>
            <w:r w:rsidRPr="00330CA4">
              <w:t xml:space="preserve">, které jsou doprovázeny publikacemi a speciálními programy, </w:t>
            </w:r>
            <w:r>
              <w:t>jež</w:t>
            </w:r>
            <w:r w:rsidRPr="00330CA4">
              <w:t xml:space="preserve"> ročně navštěvují řádově statisíce návštěvníků. Je zřejmé, že dopady odborné a popularizační činnosti instituce na společnost jsou značné. Díky finanční podpoře z IP DKRVO je možno vyvíjet trvalé úsilí NGP propojovat výzkum s prezentací výtvarného umění a edukací pro všechny zájemce (nejen) o výtvarné umění.</w:t>
            </w:r>
            <w:r>
              <w:t xml:space="preserve"> </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lastRenderedPageBreak/>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Pr="003D2FAB"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w:t>
      </w:r>
      <w:r w:rsidRPr="003D2FAB">
        <w:rPr>
          <w:b/>
          <w:sz w:val="24"/>
          <w:szCs w:val="24"/>
        </w:rPr>
        <w:t>odborného zhodnocení Závěrečné zprávy o plnění dlouhodobé koncepce rozvoje výzkumné organizace na léta 2019 až 2023 a jejího projednání schvaluje plnění koncepce za období 2019–2023 a hodnotí ho stupněm:</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3D2FA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5A109849" w:rsidR="005F77C5" w:rsidRPr="003D2FAB" w:rsidRDefault="00236DFB" w:rsidP="002C26EA">
            <w:pPr>
              <w:pStyle w:val="Zkladntext"/>
              <w:spacing w:before="60" w:line="276" w:lineRule="auto"/>
              <w:jc w:val="center"/>
              <w:rPr>
                <w:b/>
                <w:sz w:val="28"/>
                <w:szCs w:val="28"/>
              </w:rPr>
            </w:pPr>
            <w:r w:rsidRPr="003D2FAB">
              <w:rPr>
                <w:b/>
                <w:sz w:val="28"/>
                <w:szCs w:val="28"/>
              </w:rPr>
              <w:t>A</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F8662EE" w14:textId="77777777" w:rsidR="005F77C5" w:rsidRPr="003D2FAB" w:rsidRDefault="005F77C5" w:rsidP="002C26EA">
            <w:pPr>
              <w:pStyle w:val="Zkladntext"/>
              <w:spacing w:before="60" w:line="276" w:lineRule="auto"/>
              <w:ind w:left="241" w:hanging="241"/>
              <w:jc w:val="both"/>
              <w:rPr>
                <w:b/>
                <w:u w:val="single"/>
              </w:rPr>
            </w:pPr>
            <w:r w:rsidRPr="003D2FAB">
              <w:rPr>
                <w:b/>
                <w:u w:val="single"/>
              </w:rPr>
              <w:t>Odůvodnění</w:t>
            </w:r>
          </w:p>
          <w:p w14:paraId="118E3289" w14:textId="5900B99C" w:rsidR="00ED29A4" w:rsidRPr="00437AC0" w:rsidRDefault="00297C89" w:rsidP="00133275">
            <w:pPr>
              <w:pStyle w:val="Zkladntext"/>
              <w:spacing w:before="60" w:line="276" w:lineRule="auto"/>
              <w:jc w:val="both"/>
              <w:rPr>
                <w:b/>
              </w:rPr>
            </w:pPr>
            <w:r w:rsidRPr="00133275">
              <w:rPr>
                <w:b/>
              </w:rPr>
              <w:t>Hodnocení p</w:t>
            </w:r>
            <w:r w:rsidR="00ED29A4" w:rsidRPr="00133275">
              <w:rPr>
                <w:b/>
              </w:rPr>
              <w:t xml:space="preserve">lnění koncepce bylo hodnoceno bez výhrad včetně odborných k plnění koncepce a jejích cílů </w:t>
            </w:r>
            <w:r w:rsidR="00ED29A4" w:rsidRPr="00133275">
              <w:rPr>
                <w:b/>
                <w:iCs/>
              </w:rPr>
              <w:t>a provedeným změnám</w:t>
            </w:r>
            <w:r w:rsidRPr="00133275">
              <w:rPr>
                <w:b/>
              </w:rPr>
              <w:t>.</w:t>
            </w:r>
            <w:r w:rsidR="00ED29A4" w:rsidRPr="00133275">
              <w:rPr>
                <w:b/>
              </w:rPr>
              <w:t xml:space="preserve"> VO reagovala na vstupní hodnocení a zejm. u slabších stránek dosáhla výrazného pokroku</w:t>
            </w:r>
            <w:r w:rsidR="00236DFB" w:rsidRPr="00133275">
              <w:rPr>
                <w:b/>
              </w:rPr>
              <w:t xml:space="preserve">. </w:t>
            </w:r>
            <w:r w:rsidR="00BD3872" w:rsidRPr="00133275">
              <w:rPr>
                <w:b/>
              </w:rPr>
              <w:t>Celkově je plnění koncepce za období 2019–2023 hodnoceno stupněm A – vynikající plnění koncepce.</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0ED854C6"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6672C4">
        <w:rPr>
          <w:sz w:val="24"/>
          <w:szCs w:val="24"/>
        </w:rPr>
        <w:t>20</w:t>
      </w:r>
      <w:r w:rsidRPr="00B01708">
        <w:rPr>
          <w:sz w:val="24"/>
          <w:szCs w:val="24"/>
        </w:rPr>
        <w:t>, pro</w:t>
      </w:r>
      <w:r w:rsidR="00FD43EF" w:rsidRPr="00B01708">
        <w:rPr>
          <w:sz w:val="24"/>
          <w:szCs w:val="24"/>
        </w:rPr>
        <w:t xml:space="preserve"> </w:t>
      </w:r>
      <w:r w:rsidR="006672C4">
        <w:rPr>
          <w:sz w:val="24"/>
          <w:szCs w:val="24"/>
        </w:rPr>
        <w:t>19</w:t>
      </w:r>
      <w:r w:rsidRPr="00B01708">
        <w:rPr>
          <w:sz w:val="24"/>
          <w:szCs w:val="24"/>
        </w:rPr>
        <w:t xml:space="preserve">, proti </w:t>
      </w:r>
      <w:r w:rsidR="006672C4">
        <w:rPr>
          <w:sz w:val="24"/>
          <w:szCs w:val="24"/>
        </w:rPr>
        <w:t>0</w:t>
      </w:r>
      <w:r w:rsidRPr="00B01708">
        <w:rPr>
          <w:sz w:val="24"/>
          <w:szCs w:val="24"/>
        </w:rPr>
        <w:t xml:space="preserve">, zdržel se hlasování </w:t>
      </w:r>
      <w:r w:rsidR="006672C4">
        <w:rPr>
          <w:sz w:val="24"/>
          <w:szCs w:val="24"/>
        </w:rPr>
        <w:t>1</w:t>
      </w:r>
      <w:r w:rsidR="00FD43EF" w:rsidRPr="00B01708">
        <w:rPr>
          <w:sz w:val="24"/>
          <w:szCs w:val="24"/>
        </w:rPr>
        <w:t>.</w:t>
      </w:r>
    </w:p>
    <w:p w14:paraId="402A243F" w14:textId="77777777" w:rsidR="00574211" w:rsidRPr="00F51386" w:rsidRDefault="00574211" w:rsidP="00ED4B89">
      <w:pPr>
        <w:pStyle w:val="Zkladntext2"/>
        <w:spacing w:before="60" w:line="276" w:lineRule="auto"/>
        <w:ind w:left="0" w:firstLine="284"/>
        <w:jc w:val="both"/>
        <w:rPr>
          <w:sz w:val="24"/>
          <w:szCs w:val="24"/>
        </w:rPr>
      </w:pPr>
    </w:p>
    <w:p w14:paraId="60C06333" w14:textId="4D33E18E" w:rsidR="00574211" w:rsidRPr="00FF43D4" w:rsidRDefault="00574211" w:rsidP="006C619F">
      <w:pPr>
        <w:pStyle w:val="Zkladntext2"/>
        <w:keepNext/>
        <w:widowControl/>
        <w:spacing w:before="60" w:line="276" w:lineRule="auto"/>
        <w:jc w:val="both"/>
        <w:rPr>
          <w:sz w:val="24"/>
          <w:szCs w:val="24"/>
        </w:rPr>
      </w:pPr>
      <w:bookmarkStart w:id="3" w:name="_GoBack"/>
      <w:bookmarkEnd w:id="3"/>
      <w:r w:rsidRPr="00EF04EC">
        <w:rPr>
          <w:sz w:val="24"/>
          <w:szCs w:val="24"/>
        </w:rPr>
        <w:t xml:space="preserve">V Praze dne </w:t>
      </w:r>
      <w:r w:rsidR="006672C4">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p w14:paraId="37275F5A" w14:textId="576A6294" w:rsidR="00574211" w:rsidRPr="00F51386" w:rsidRDefault="00574211" w:rsidP="009140AB">
      <w:pPr>
        <w:pStyle w:val="Zkladntext2"/>
        <w:spacing w:before="60" w:line="276" w:lineRule="auto"/>
        <w:ind w:left="426" w:hanging="426"/>
        <w:jc w:val="both"/>
        <w:rPr>
          <w:sz w:val="24"/>
          <w:szCs w:val="24"/>
        </w:rPr>
      </w:pPr>
    </w:p>
    <w:sectPr w:rsidR="00574211" w:rsidRPr="00F51386" w:rsidSect="00AE1B5E">
      <w:footerReference w:type="even" r:id="rId8"/>
      <w:footerReference w:type="default" r:id="rId9"/>
      <w:type w:val="continuous"/>
      <w:pgSz w:w="11906" w:h="16838"/>
      <w:pgMar w:top="1134" w:right="1134" w:bottom="851"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96CE3F2" w16cex:dateUtc="2024-03-25T16:29:00Z"/>
  <w16cex:commentExtensible w16cex:durableId="32B0E6C1" w16cex:dateUtc="2024-03-25T16:38:00Z"/>
  <w16cex:commentExtensible w16cex:durableId="06BB7CE9" w16cex:dateUtc="2024-03-25T16:49:00Z"/>
  <w16cex:commentExtensible w16cex:durableId="7A0FFDDB" w16cex:dateUtc="2024-03-25T17:34:00Z"/>
  <w16cex:commentExtensible w16cex:durableId="48DDF6E7" w16cex:dateUtc="2024-03-25T1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EE21E0" w16cid:durableId="06BB7CE9"/>
  <w16cid:commentId w16cid:paraId="02C0B534" w16cid:durableId="7A0FFD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0A87B" w14:textId="77777777" w:rsidR="00BC1F87" w:rsidRDefault="00BC1F87">
      <w:r>
        <w:separator/>
      </w:r>
    </w:p>
  </w:endnote>
  <w:endnote w:type="continuationSeparator" w:id="0">
    <w:p w14:paraId="2398F798" w14:textId="77777777" w:rsidR="00BC1F87" w:rsidRDefault="00BC1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7E286F" w:rsidRDefault="007E286F"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7E286F" w:rsidRDefault="007E286F"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77777777" w:rsidR="007E286F" w:rsidRPr="00AE1B5E" w:rsidRDefault="007E286F"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184CDE">
      <w:rPr>
        <w:rStyle w:val="slostrnky"/>
        <w:noProof/>
        <w:sz w:val="22"/>
        <w:szCs w:val="22"/>
      </w:rPr>
      <w:t>17</w:t>
    </w:r>
    <w:r w:rsidRPr="00AE1B5E">
      <w:rPr>
        <w:rStyle w:val="slostrnky"/>
        <w:sz w:val="22"/>
        <w:szCs w:val="22"/>
      </w:rPr>
      <w:fldChar w:fldCharType="end"/>
    </w:r>
  </w:p>
  <w:p w14:paraId="05C1E2D8" w14:textId="77777777" w:rsidR="007E286F" w:rsidRDefault="007E286F"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7F4C0" w14:textId="77777777" w:rsidR="00BC1F87" w:rsidRDefault="00BC1F87">
      <w:r>
        <w:separator/>
      </w:r>
    </w:p>
  </w:footnote>
  <w:footnote w:type="continuationSeparator" w:id="0">
    <w:p w14:paraId="711DC65D" w14:textId="77777777" w:rsidR="00BC1F87" w:rsidRDefault="00BC1F87">
      <w:r>
        <w:continuationSeparator/>
      </w:r>
    </w:p>
  </w:footnote>
  <w:footnote w:id="1">
    <w:p w14:paraId="484DF1CA" w14:textId="2691FF1B" w:rsidR="007E286F" w:rsidRPr="002E7170" w:rsidRDefault="007E286F"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7E286F" w:rsidRPr="000A2EBE" w:rsidRDefault="007E286F"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7E286F" w:rsidRPr="00EF04EC" w:rsidRDefault="007E286F"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7E286F" w:rsidRPr="002E7170" w:rsidRDefault="007E286F"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7E286F" w:rsidRPr="00CE0AEF" w:rsidRDefault="007E286F"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7E286F" w:rsidRPr="000A2EBE" w:rsidRDefault="007E286F"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25B4"/>
    <w:rsid w:val="00005B42"/>
    <w:rsid w:val="0001158E"/>
    <w:rsid w:val="0001252B"/>
    <w:rsid w:val="00013717"/>
    <w:rsid w:val="00013A30"/>
    <w:rsid w:val="0001563D"/>
    <w:rsid w:val="00021BF2"/>
    <w:rsid w:val="00023987"/>
    <w:rsid w:val="00023D8C"/>
    <w:rsid w:val="00024886"/>
    <w:rsid w:val="0003078D"/>
    <w:rsid w:val="000310F7"/>
    <w:rsid w:val="0003561D"/>
    <w:rsid w:val="0003694B"/>
    <w:rsid w:val="00042AE8"/>
    <w:rsid w:val="00044A0A"/>
    <w:rsid w:val="000511BA"/>
    <w:rsid w:val="00051239"/>
    <w:rsid w:val="000557C7"/>
    <w:rsid w:val="00057222"/>
    <w:rsid w:val="00061D34"/>
    <w:rsid w:val="00063789"/>
    <w:rsid w:val="00063DF2"/>
    <w:rsid w:val="000649E8"/>
    <w:rsid w:val="000649F8"/>
    <w:rsid w:val="000654CF"/>
    <w:rsid w:val="0006658E"/>
    <w:rsid w:val="00066B9E"/>
    <w:rsid w:val="00067CE9"/>
    <w:rsid w:val="00067EB9"/>
    <w:rsid w:val="000700A5"/>
    <w:rsid w:val="0007150B"/>
    <w:rsid w:val="000724D5"/>
    <w:rsid w:val="0007487C"/>
    <w:rsid w:val="00076103"/>
    <w:rsid w:val="00076FCA"/>
    <w:rsid w:val="00080617"/>
    <w:rsid w:val="00080ADF"/>
    <w:rsid w:val="00081217"/>
    <w:rsid w:val="00083C13"/>
    <w:rsid w:val="00091BB0"/>
    <w:rsid w:val="00093384"/>
    <w:rsid w:val="000A00B0"/>
    <w:rsid w:val="000A2EBE"/>
    <w:rsid w:val="000A48FB"/>
    <w:rsid w:val="000A5E5E"/>
    <w:rsid w:val="000A72A4"/>
    <w:rsid w:val="000A7535"/>
    <w:rsid w:val="000B044F"/>
    <w:rsid w:val="000B2D7D"/>
    <w:rsid w:val="000B389E"/>
    <w:rsid w:val="000B5C6C"/>
    <w:rsid w:val="000B7825"/>
    <w:rsid w:val="000C0CCD"/>
    <w:rsid w:val="000C28D8"/>
    <w:rsid w:val="000C32BA"/>
    <w:rsid w:val="000C5199"/>
    <w:rsid w:val="000C79FF"/>
    <w:rsid w:val="000D0189"/>
    <w:rsid w:val="000D32DC"/>
    <w:rsid w:val="000D3569"/>
    <w:rsid w:val="000D3C34"/>
    <w:rsid w:val="000E5619"/>
    <w:rsid w:val="000E63A9"/>
    <w:rsid w:val="000E79C7"/>
    <w:rsid w:val="000F0491"/>
    <w:rsid w:val="000F0A24"/>
    <w:rsid w:val="000F5F40"/>
    <w:rsid w:val="00100AA1"/>
    <w:rsid w:val="0010406E"/>
    <w:rsid w:val="0010416A"/>
    <w:rsid w:val="0010677F"/>
    <w:rsid w:val="0011263F"/>
    <w:rsid w:val="00114858"/>
    <w:rsid w:val="00114D96"/>
    <w:rsid w:val="00115B1B"/>
    <w:rsid w:val="00116CAC"/>
    <w:rsid w:val="00124BF9"/>
    <w:rsid w:val="00124DCB"/>
    <w:rsid w:val="00125586"/>
    <w:rsid w:val="00127374"/>
    <w:rsid w:val="00132B89"/>
    <w:rsid w:val="00133275"/>
    <w:rsid w:val="00133434"/>
    <w:rsid w:val="00133F01"/>
    <w:rsid w:val="0013466E"/>
    <w:rsid w:val="00135A4C"/>
    <w:rsid w:val="00135A7D"/>
    <w:rsid w:val="00136EC5"/>
    <w:rsid w:val="00142E4E"/>
    <w:rsid w:val="001465A8"/>
    <w:rsid w:val="00146E73"/>
    <w:rsid w:val="00147F27"/>
    <w:rsid w:val="001527A1"/>
    <w:rsid w:val="00153851"/>
    <w:rsid w:val="00154997"/>
    <w:rsid w:val="00154A47"/>
    <w:rsid w:val="00154AFF"/>
    <w:rsid w:val="00160778"/>
    <w:rsid w:val="001641C6"/>
    <w:rsid w:val="00165FEE"/>
    <w:rsid w:val="00171CE3"/>
    <w:rsid w:val="00171EEE"/>
    <w:rsid w:val="001739DA"/>
    <w:rsid w:val="00174FB7"/>
    <w:rsid w:val="001832F9"/>
    <w:rsid w:val="001842A5"/>
    <w:rsid w:val="00184CDE"/>
    <w:rsid w:val="00186615"/>
    <w:rsid w:val="00186938"/>
    <w:rsid w:val="00194686"/>
    <w:rsid w:val="00196531"/>
    <w:rsid w:val="00196954"/>
    <w:rsid w:val="00197F7C"/>
    <w:rsid w:val="001A1FE2"/>
    <w:rsid w:val="001A41DA"/>
    <w:rsid w:val="001A6DE6"/>
    <w:rsid w:val="001A73B1"/>
    <w:rsid w:val="001B0796"/>
    <w:rsid w:val="001B19BA"/>
    <w:rsid w:val="001B63A8"/>
    <w:rsid w:val="001B729D"/>
    <w:rsid w:val="001C0D06"/>
    <w:rsid w:val="001C11A7"/>
    <w:rsid w:val="001C1E17"/>
    <w:rsid w:val="001C2C4B"/>
    <w:rsid w:val="001C45A6"/>
    <w:rsid w:val="001C5F0E"/>
    <w:rsid w:val="001C6A3F"/>
    <w:rsid w:val="001C78D8"/>
    <w:rsid w:val="001D221F"/>
    <w:rsid w:val="001E02F2"/>
    <w:rsid w:val="001E3FCC"/>
    <w:rsid w:val="001E4B0D"/>
    <w:rsid w:val="001E6784"/>
    <w:rsid w:val="001E7C09"/>
    <w:rsid w:val="001F2E96"/>
    <w:rsid w:val="001F5EB9"/>
    <w:rsid w:val="00200C27"/>
    <w:rsid w:val="00201252"/>
    <w:rsid w:val="0020310D"/>
    <w:rsid w:val="00221466"/>
    <w:rsid w:val="0022347B"/>
    <w:rsid w:val="002235A5"/>
    <w:rsid w:val="00225CCE"/>
    <w:rsid w:val="00227927"/>
    <w:rsid w:val="002308FB"/>
    <w:rsid w:val="00232864"/>
    <w:rsid w:val="002336B0"/>
    <w:rsid w:val="00233FEB"/>
    <w:rsid w:val="00236DFB"/>
    <w:rsid w:val="00241BE6"/>
    <w:rsid w:val="00246E17"/>
    <w:rsid w:val="00250D08"/>
    <w:rsid w:val="0025296B"/>
    <w:rsid w:val="00256D31"/>
    <w:rsid w:val="00262FBC"/>
    <w:rsid w:val="00264BBA"/>
    <w:rsid w:val="002651B2"/>
    <w:rsid w:val="002663C1"/>
    <w:rsid w:val="00266869"/>
    <w:rsid w:val="002722EC"/>
    <w:rsid w:val="00274C26"/>
    <w:rsid w:val="00275D94"/>
    <w:rsid w:val="00281846"/>
    <w:rsid w:val="00281CC8"/>
    <w:rsid w:val="0028339B"/>
    <w:rsid w:val="00283B58"/>
    <w:rsid w:val="002841D9"/>
    <w:rsid w:val="0028497C"/>
    <w:rsid w:val="00290AA6"/>
    <w:rsid w:val="00290E05"/>
    <w:rsid w:val="002963D3"/>
    <w:rsid w:val="00296AD4"/>
    <w:rsid w:val="00296BCF"/>
    <w:rsid w:val="00297C89"/>
    <w:rsid w:val="002A2DC5"/>
    <w:rsid w:val="002A40A4"/>
    <w:rsid w:val="002A4A06"/>
    <w:rsid w:val="002A6156"/>
    <w:rsid w:val="002B381D"/>
    <w:rsid w:val="002B4CC0"/>
    <w:rsid w:val="002B5E5F"/>
    <w:rsid w:val="002B5FDC"/>
    <w:rsid w:val="002B67C7"/>
    <w:rsid w:val="002B763B"/>
    <w:rsid w:val="002B79DA"/>
    <w:rsid w:val="002C1A1E"/>
    <w:rsid w:val="002C26EA"/>
    <w:rsid w:val="002C6039"/>
    <w:rsid w:val="002C6E6C"/>
    <w:rsid w:val="002C7129"/>
    <w:rsid w:val="002D5AA5"/>
    <w:rsid w:val="002D6513"/>
    <w:rsid w:val="002E2E15"/>
    <w:rsid w:val="002E4200"/>
    <w:rsid w:val="002E4FCC"/>
    <w:rsid w:val="002E606D"/>
    <w:rsid w:val="002E668F"/>
    <w:rsid w:val="002E7170"/>
    <w:rsid w:val="002F00B6"/>
    <w:rsid w:val="002F10B8"/>
    <w:rsid w:val="002F4818"/>
    <w:rsid w:val="002F5098"/>
    <w:rsid w:val="0030242B"/>
    <w:rsid w:val="00302544"/>
    <w:rsid w:val="0030355D"/>
    <w:rsid w:val="0030516F"/>
    <w:rsid w:val="00305CAF"/>
    <w:rsid w:val="00307D8D"/>
    <w:rsid w:val="00310ED4"/>
    <w:rsid w:val="00310EEA"/>
    <w:rsid w:val="00311E5E"/>
    <w:rsid w:val="003131D4"/>
    <w:rsid w:val="0031425C"/>
    <w:rsid w:val="0031482C"/>
    <w:rsid w:val="00320444"/>
    <w:rsid w:val="003219AE"/>
    <w:rsid w:val="00326701"/>
    <w:rsid w:val="00331253"/>
    <w:rsid w:val="0033161D"/>
    <w:rsid w:val="003331CA"/>
    <w:rsid w:val="00333E4D"/>
    <w:rsid w:val="00334D1C"/>
    <w:rsid w:val="00336C95"/>
    <w:rsid w:val="00337F93"/>
    <w:rsid w:val="00341E8A"/>
    <w:rsid w:val="00342771"/>
    <w:rsid w:val="00343928"/>
    <w:rsid w:val="00354417"/>
    <w:rsid w:val="003621D9"/>
    <w:rsid w:val="003621EB"/>
    <w:rsid w:val="00362731"/>
    <w:rsid w:val="0036433F"/>
    <w:rsid w:val="00372BA2"/>
    <w:rsid w:val="003769C3"/>
    <w:rsid w:val="00380F49"/>
    <w:rsid w:val="00381BA6"/>
    <w:rsid w:val="00384D45"/>
    <w:rsid w:val="00386516"/>
    <w:rsid w:val="003907A5"/>
    <w:rsid w:val="00393DF9"/>
    <w:rsid w:val="00396421"/>
    <w:rsid w:val="003A5752"/>
    <w:rsid w:val="003B201A"/>
    <w:rsid w:val="003B5621"/>
    <w:rsid w:val="003B7F44"/>
    <w:rsid w:val="003C4186"/>
    <w:rsid w:val="003C6A20"/>
    <w:rsid w:val="003C78F2"/>
    <w:rsid w:val="003D1363"/>
    <w:rsid w:val="003D2FAB"/>
    <w:rsid w:val="003D4DAF"/>
    <w:rsid w:val="003D503B"/>
    <w:rsid w:val="003D6128"/>
    <w:rsid w:val="003D6310"/>
    <w:rsid w:val="003E0310"/>
    <w:rsid w:val="003E1980"/>
    <w:rsid w:val="003E3649"/>
    <w:rsid w:val="003F1D84"/>
    <w:rsid w:val="003F4E63"/>
    <w:rsid w:val="003F54A2"/>
    <w:rsid w:val="003F66EA"/>
    <w:rsid w:val="004018CC"/>
    <w:rsid w:val="00403A7C"/>
    <w:rsid w:val="00406FD5"/>
    <w:rsid w:val="00410C10"/>
    <w:rsid w:val="0041429F"/>
    <w:rsid w:val="00417C25"/>
    <w:rsid w:val="004239B6"/>
    <w:rsid w:val="00424560"/>
    <w:rsid w:val="00426BD4"/>
    <w:rsid w:val="00426DF9"/>
    <w:rsid w:val="00427E6B"/>
    <w:rsid w:val="004315CA"/>
    <w:rsid w:val="004317E7"/>
    <w:rsid w:val="004353A9"/>
    <w:rsid w:val="00436F2B"/>
    <w:rsid w:val="00437397"/>
    <w:rsid w:val="00437AC0"/>
    <w:rsid w:val="00437B09"/>
    <w:rsid w:val="004411AD"/>
    <w:rsid w:val="004416D1"/>
    <w:rsid w:val="00443FE6"/>
    <w:rsid w:val="00455B01"/>
    <w:rsid w:val="0045769B"/>
    <w:rsid w:val="004613BC"/>
    <w:rsid w:val="00461BC1"/>
    <w:rsid w:val="00463641"/>
    <w:rsid w:val="004672B6"/>
    <w:rsid w:val="00470587"/>
    <w:rsid w:val="0047103F"/>
    <w:rsid w:val="0047303F"/>
    <w:rsid w:val="0047335A"/>
    <w:rsid w:val="00474253"/>
    <w:rsid w:val="00476CD6"/>
    <w:rsid w:val="0048201D"/>
    <w:rsid w:val="00483ECB"/>
    <w:rsid w:val="00484E2C"/>
    <w:rsid w:val="00485AF1"/>
    <w:rsid w:val="00491631"/>
    <w:rsid w:val="00492A5B"/>
    <w:rsid w:val="004941DE"/>
    <w:rsid w:val="004961F8"/>
    <w:rsid w:val="004962E0"/>
    <w:rsid w:val="00497F0D"/>
    <w:rsid w:val="004A186D"/>
    <w:rsid w:val="004A34FF"/>
    <w:rsid w:val="004A3F67"/>
    <w:rsid w:val="004A4675"/>
    <w:rsid w:val="004A65BF"/>
    <w:rsid w:val="004A7087"/>
    <w:rsid w:val="004B082B"/>
    <w:rsid w:val="004B08BB"/>
    <w:rsid w:val="004B17B3"/>
    <w:rsid w:val="004B4D77"/>
    <w:rsid w:val="004B6F00"/>
    <w:rsid w:val="004C044C"/>
    <w:rsid w:val="004C4AA4"/>
    <w:rsid w:val="004D3B2F"/>
    <w:rsid w:val="004D3D1E"/>
    <w:rsid w:val="004E79D7"/>
    <w:rsid w:val="00503F1D"/>
    <w:rsid w:val="005072A3"/>
    <w:rsid w:val="00507A02"/>
    <w:rsid w:val="005104E4"/>
    <w:rsid w:val="0051077C"/>
    <w:rsid w:val="00512753"/>
    <w:rsid w:val="00514383"/>
    <w:rsid w:val="005159E0"/>
    <w:rsid w:val="00530025"/>
    <w:rsid w:val="00531F80"/>
    <w:rsid w:val="00533BBD"/>
    <w:rsid w:val="00533C0F"/>
    <w:rsid w:val="0053601F"/>
    <w:rsid w:val="00537CA7"/>
    <w:rsid w:val="00543063"/>
    <w:rsid w:val="00543F5A"/>
    <w:rsid w:val="0055220B"/>
    <w:rsid w:val="0055370A"/>
    <w:rsid w:val="00554D39"/>
    <w:rsid w:val="005559F2"/>
    <w:rsid w:val="00557C4F"/>
    <w:rsid w:val="005601CA"/>
    <w:rsid w:val="005621E4"/>
    <w:rsid w:val="005639F8"/>
    <w:rsid w:val="00565BD3"/>
    <w:rsid w:val="00566F7A"/>
    <w:rsid w:val="00570529"/>
    <w:rsid w:val="00571328"/>
    <w:rsid w:val="0057159A"/>
    <w:rsid w:val="00571BDA"/>
    <w:rsid w:val="00571C58"/>
    <w:rsid w:val="00572A93"/>
    <w:rsid w:val="00574211"/>
    <w:rsid w:val="0057714D"/>
    <w:rsid w:val="00577C72"/>
    <w:rsid w:val="00577CD5"/>
    <w:rsid w:val="0058108F"/>
    <w:rsid w:val="00582238"/>
    <w:rsid w:val="00583B1B"/>
    <w:rsid w:val="00584105"/>
    <w:rsid w:val="00587377"/>
    <w:rsid w:val="00591068"/>
    <w:rsid w:val="005937BA"/>
    <w:rsid w:val="00596FE8"/>
    <w:rsid w:val="005A13DB"/>
    <w:rsid w:val="005A2287"/>
    <w:rsid w:val="005A3E67"/>
    <w:rsid w:val="005A46AE"/>
    <w:rsid w:val="005A6747"/>
    <w:rsid w:val="005B13CE"/>
    <w:rsid w:val="005B4FC5"/>
    <w:rsid w:val="005C0138"/>
    <w:rsid w:val="005C314C"/>
    <w:rsid w:val="005C3BF4"/>
    <w:rsid w:val="005C76F7"/>
    <w:rsid w:val="005D03AF"/>
    <w:rsid w:val="005D0A56"/>
    <w:rsid w:val="005D262E"/>
    <w:rsid w:val="005D4816"/>
    <w:rsid w:val="005D5F15"/>
    <w:rsid w:val="005D75AD"/>
    <w:rsid w:val="005D7908"/>
    <w:rsid w:val="005E094E"/>
    <w:rsid w:val="005E4D7A"/>
    <w:rsid w:val="005F5611"/>
    <w:rsid w:val="005F6E32"/>
    <w:rsid w:val="005F77C5"/>
    <w:rsid w:val="0060036B"/>
    <w:rsid w:val="00601714"/>
    <w:rsid w:val="00602B6F"/>
    <w:rsid w:val="0060300E"/>
    <w:rsid w:val="006103AF"/>
    <w:rsid w:val="00610737"/>
    <w:rsid w:val="0061153C"/>
    <w:rsid w:val="0061273A"/>
    <w:rsid w:val="00612A2D"/>
    <w:rsid w:val="00623894"/>
    <w:rsid w:val="00627BA5"/>
    <w:rsid w:val="006310B8"/>
    <w:rsid w:val="00634D07"/>
    <w:rsid w:val="00635813"/>
    <w:rsid w:val="00636257"/>
    <w:rsid w:val="006430C7"/>
    <w:rsid w:val="006503FE"/>
    <w:rsid w:val="006535B0"/>
    <w:rsid w:val="0065445E"/>
    <w:rsid w:val="00656822"/>
    <w:rsid w:val="00656C8E"/>
    <w:rsid w:val="006630D8"/>
    <w:rsid w:val="00664587"/>
    <w:rsid w:val="006664B7"/>
    <w:rsid w:val="006672C4"/>
    <w:rsid w:val="00672E9C"/>
    <w:rsid w:val="006740E9"/>
    <w:rsid w:val="006825B4"/>
    <w:rsid w:val="0068365C"/>
    <w:rsid w:val="006841CB"/>
    <w:rsid w:val="00684398"/>
    <w:rsid w:val="006851B1"/>
    <w:rsid w:val="00685238"/>
    <w:rsid w:val="006914CC"/>
    <w:rsid w:val="00692461"/>
    <w:rsid w:val="006926C4"/>
    <w:rsid w:val="0069481D"/>
    <w:rsid w:val="00694F9C"/>
    <w:rsid w:val="006959DA"/>
    <w:rsid w:val="00696926"/>
    <w:rsid w:val="00697542"/>
    <w:rsid w:val="006A0589"/>
    <w:rsid w:val="006A0E95"/>
    <w:rsid w:val="006A1D9D"/>
    <w:rsid w:val="006A2D0A"/>
    <w:rsid w:val="006B24BB"/>
    <w:rsid w:val="006B2776"/>
    <w:rsid w:val="006B3B4F"/>
    <w:rsid w:val="006C17E5"/>
    <w:rsid w:val="006C1B60"/>
    <w:rsid w:val="006C619F"/>
    <w:rsid w:val="006D197A"/>
    <w:rsid w:val="006D57F6"/>
    <w:rsid w:val="006D674A"/>
    <w:rsid w:val="006D79F2"/>
    <w:rsid w:val="006E2975"/>
    <w:rsid w:val="006E46D0"/>
    <w:rsid w:val="006E6CD3"/>
    <w:rsid w:val="006F0F6A"/>
    <w:rsid w:val="006F166D"/>
    <w:rsid w:val="006F2368"/>
    <w:rsid w:val="006F37E7"/>
    <w:rsid w:val="006F67AA"/>
    <w:rsid w:val="006F6A5E"/>
    <w:rsid w:val="00701A54"/>
    <w:rsid w:val="007044B2"/>
    <w:rsid w:val="007050F5"/>
    <w:rsid w:val="0070579C"/>
    <w:rsid w:val="00707C4B"/>
    <w:rsid w:val="007106C9"/>
    <w:rsid w:val="00720CE7"/>
    <w:rsid w:val="00721459"/>
    <w:rsid w:val="00722FFC"/>
    <w:rsid w:val="00723BE0"/>
    <w:rsid w:val="00725120"/>
    <w:rsid w:val="00725A32"/>
    <w:rsid w:val="007305F2"/>
    <w:rsid w:val="0073064F"/>
    <w:rsid w:val="00730BEB"/>
    <w:rsid w:val="0073111F"/>
    <w:rsid w:val="00734BF7"/>
    <w:rsid w:val="00735456"/>
    <w:rsid w:val="00737CA0"/>
    <w:rsid w:val="00740108"/>
    <w:rsid w:val="007413E3"/>
    <w:rsid w:val="00741866"/>
    <w:rsid w:val="007428EF"/>
    <w:rsid w:val="00742B74"/>
    <w:rsid w:val="00744043"/>
    <w:rsid w:val="00744EAE"/>
    <w:rsid w:val="00751ECE"/>
    <w:rsid w:val="00756366"/>
    <w:rsid w:val="007574D8"/>
    <w:rsid w:val="0076066B"/>
    <w:rsid w:val="00762998"/>
    <w:rsid w:val="00762B14"/>
    <w:rsid w:val="0076537D"/>
    <w:rsid w:val="007657E3"/>
    <w:rsid w:val="00765F8F"/>
    <w:rsid w:val="00767066"/>
    <w:rsid w:val="00775F79"/>
    <w:rsid w:val="0078005A"/>
    <w:rsid w:val="00783798"/>
    <w:rsid w:val="00784C9C"/>
    <w:rsid w:val="00790277"/>
    <w:rsid w:val="00790D3C"/>
    <w:rsid w:val="007920D9"/>
    <w:rsid w:val="007960DA"/>
    <w:rsid w:val="0079677D"/>
    <w:rsid w:val="007A23BB"/>
    <w:rsid w:val="007A2BB9"/>
    <w:rsid w:val="007A35CC"/>
    <w:rsid w:val="007A3F17"/>
    <w:rsid w:val="007A6112"/>
    <w:rsid w:val="007A76E2"/>
    <w:rsid w:val="007B0A5D"/>
    <w:rsid w:val="007B0BC9"/>
    <w:rsid w:val="007B0FA0"/>
    <w:rsid w:val="007B197A"/>
    <w:rsid w:val="007B1F51"/>
    <w:rsid w:val="007B573A"/>
    <w:rsid w:val="007B7BCF"/>
    <w:rsid w:val="007C1857"/>
    <w:rsid w:val="007C404C"/>
    <w:rsid w:val="007C43E5"/>
    <w:rsid w:val="007C4501"/>
    <w:rsid w:val="007C4982"/>
    <w:rsid w:val="007C4E0B"/>
    <w:rsid w:val="007C51F3"/>
    <w:rsid w:val="007D0A39"/>
    <w:rsid w:val="007D0AF3"/>
    <w:rsid w:val="007D1A78"/>
    <w:rsid w:val="007D3F44"/>
    <w:rsid w:val="007D59F5"/>
    <w:rsid w:val="007E0BD2"/>
    <w:rsid w:val="007E1C29"/>
    <w:rsid w:val="007E286F"/>
    <w:rsid w:val="007F01FD"/>
    <w:rsid w:val="007F60EA"/>
    <w:rsid w:val="00802633"/>
    <w:rsid w:val="00802B63"/>
    <w:rsid w:val="008113F1"/>
    <w:rsid w:val="00811D86"/>
    <w:rsid w:val="00813C9B"/>
    <w:rsid w:val="00820D88"/>
    <w:rsid w:val="00826AEA"/>
    <w:rsid w:val="00830969"/>
    <w:rsid w:val="00830FC7"/>
    <w:rsid w:val="008330C5"/>
    <w:rsid w:val="00834695"/>
    <w:rsid w:val="00834DD3"/>
    <w:rsid w:val="008366C0"/>
    <w:rsid w:val="008376C5"/>
    <w:rsid w:val="008408BB"/>
    <w:rsid w:val="00844D08"/>
    <w:rsid w:val="00847409"/>
    <w:rsid w:val="00850926"/>
    <w:rsid w:val="0085362B"/>
    <w:rsid w:val="008568F3"/>
    <w:rsid w:val="00857D11"/>
    <w:rsid w:val="00857DCF"/>
    <w:rsid w:val="00862882"/>
    <w:rsid w:val="0086339E"/>
    <w:rsid w:val="00866668"/>
    <w:rsid w:val="0086698E"/>
    <w:rsid w:val="0087330F"/>
    <w:rsid w:val="00873F66"/>
    <w:rsid w:val="008778A0"/>
    <w:rsid w:val="00880DFD"/>
    <w:rsid w:val="00881A64"/>
    <w:rsid w:val="0088328B"/>
    <w:rsid w:val="00892D5B"/>
    <w:rsid w:val="008A2317"/>
    <w:rsid w:val="008A55A3"/>
    <w:rsid w:val="008A7E6E"/>
    <w:rsid w:val="008B0F47"/>
    <w:rsid w:val="008B194B"/>
    <w:rsid w:val="008B5BF1"/>
    <w:rsid w:val="008C0D23"/>
    <w:rsid w:val="008C2CB6"/>
    <w:rsid w:val="008C647E"/>
    <w:rsid w:val="008D6283"/>
    <w:rsid w:val="008E2FC5"/>
    <w:rsid w:val="008E5417"/>
    <w:rsid w:val="008E61B9"/>
    <w:rsid w:val="008F04AD"/>
    <w:rsid w:val="008F3027"/>
    <w:rsid w:val="008F6C98"/>
    <w:rsid w:val="00903414"/>
    <w:rsid w:val="00905C1B"/>
    <w:rsid w:val="00905D72"/>
    <w:rsid w:val="009071D2"/>
    <w:rsid w:val="00910DFD"/>
    <w:rsid w:val="009140AB"/>
    <w:rsid w:val="00915B37"/>
    <w:rsid w:val="00916C48"/>
    <w:rsid w:val="00916F1E"/>
    <w:rsid w:val="00917B1A"/>
    <w:rsid w:val="0092634A"/>
    <w:rsid w:val="00926A4B"/>
    <w:rsid w:val="00926E1B"/>
    <w:rsid w:val="00930997"/>
    <w:rsid w:val="00935C75"/>
    <w:rsid w:val="00936818"/>
    <w:rsid w:val="00946053"/>
    <w:rsid w:val="00946623"/>
    <w:rsid w:val="009500A0"/>
    <w:rsid w:val="009514CC"/>
    <w:rsid w:val="00955E74"/>
    <w:rsid w:val="009644B8"/>
    <w:rsid w:val="009706CD"/>
    <w:rsid w:val="00971E92"/>
    <w:rsid w:val="00984D65"/>
    <w:rsid w:val="009875BE"/>
    <w:rsid w:val="00992217"/>
    <w:rsid w:val="009A026E"/>
    <w:rsid w:val="009A2982"/>
    <w:rsid w:val="009A3B20"/>
    <w:rsid w:val="009A4540"/>
    <w:rsid w:val="009A462A"/>
    <w:rsid w:val="009A4C3E"/>
    <w:rsid w:val="009A5302"/>
    <w:rsid w:val="009B2CFA"/>
    <w:rsid w:val="009B7DF3"/>
    <w:rsid w:val="009C07E0"/>
    <w:rsid w:val="009C17F6"/>
    <w:rsid w:val="009C2F6F"/>
    <w:rsid w:val="009D175A"/>
    <w:rsid w:val="009D23AF"/>
    <w:rsid w:val="009D23E2"/>
    <w:rsid w:val="009D3DA6"/>
    <w:rsid w:val="009D4517"/>
    <w:rsid w:val="009D49B3"/>
    <w:rsid w:val="009D7347"/>
    <w:rsid w:val="009E1A57"/>
    <w:rsid w:val="009E2DCC"/>
    <w:rsid w:val="009E2F28"/>
    <w:rsid w:val="009E6A8F"/>
    <w:rsid w:val="009E6AF4"/>
    <w:rsid w:val="009E707D"/>
    <w:rsid w:val="009F0B47"/>
    <w:rsid w:val="009F70F3"/>
    <w:rsid w:val="009F7A48"/>
    <w:rsid w:val="00A00A59"/>
    <w:rsid w:val="00A00F4F"/>
    <w:rsid w:val="00A02B00"/>
    <w:rsid w:val="00A05FB0"/>
    <w:rsid w:val="00A078B6"/>
    <w:rsid w:val="00A1044C"/>
    <w:rsid w:val="00A13D12"/>
    <w:rsid w:val="00A20450"/>
    <w:rsid w:val="00A249B4"/>
    <w:rsid w:val="00A2552D"/>
    <w:rsid w:val="00A278F9"/>
    <w:rsid w:val="00A319ED"/>
    <w:rsid w:val="00A36093"/>
    <w:rsid w:val="00A40A32"/>
    <w:rsid w:val="00A4196A"/>
    <w:rsid w:val="00A42AC7"/>
    <w:rsid w:val="00A44ECC"/>
    <w:rsid w:val="00A45D6C"/>
    <w:rsid w:val="00A5048A"/>
    <w:rsid w:val="00A51C73"/>
    <w:rsid w:val="00A53CC9"/>
    <w:rsid w:val="00A558D3"/>
    <w:rsid w:val="00A56EBB"/>
    <w:rsid w:val="00A645B0"/>
    <w:rsid w:val="00A64B1D"/>
    <w:rsid w:val="00A714ED"/>
    <w:rsid w:val="00A73AF1"/>
    <w:rsid w:val="00A76AA2"/>
    <w:rsid w:val="00A774AD"/>
    <w:rsid w:val="00A80CEA"/>
    <w:rsid w:val="00A81007"/>
    <w:rsid w:val="00A81D8B"/>
    <w:rsid w:val="00A84AFC"/>
    <w:rsid w:val="00A86B50"/>
    <w:rsid w:val="00A90F63"/>
    <w:rsid w:val="00A9251F"/>
    <w:rsid w:val="00AA4E5D"/>
    <w:rsid w:val="00AA776B"/>
    <w:rsid w:val="00AA77B2"/>
    <w:rsid w:val="00AB2C93"/>
    <w:rsid w:val="00AB6168"/>
    <w:rsid w:val="00AB636A"/>
    <w:rsid w:val="00AC06CE"/>
    <w:rsid w:val="00AC49A6"/>
    <w:rsid w:val="00AC5E7C"/>
    <w:rsid w:val="00AD0A15"/>
    <w:rsid w:val="00AD4385"/>
    <w:rsid w:val="00AD44F2"/>
    <w:rsid w:val="00AD5483"/>
    <w:rsid w:val="00AD7B0F"/>
    <w:rsid w:val="00AE1B5E"/>
    <w:rsid w:val="00AE1D32"/>
    <w:rsid w:val="00AE4507"/>
    <w:rsid w:val="00AE54D7"/>
    <w:rsid w:val="00AE5BD2"/>
    <w:rsid w:val="00AE692B"/>
    <w:rsid w:val="00AE6BC8"/>
    <w:rsid w:val="00AE7861"/>
    <w:rsid w:val="00AF33F7"/>
    <w:rsid w:val="00AF5FE8"/>
    <w:rsid w:val="00B01708"/>
    <w:rsid w:val="00B050A3"/>
    <w:rsid w:val="00B06A5E"/>
    <w:rsid w:val="00B075D3"/>
    <w:rsid w:val="00B07941"/>
    <w:rsid w:val="00B114BC"/>
    <w:rsid w:val="00B129DB"/>
    <w:rsid w:val="00B1393D"/>
    <w:rsid w:val="00B15B7C"/>
    <w:rsid w:val="00B23D61"/>
    <w:rsid w:val="00B25163"/>
    <w:rsid w:val="00B25290"/>
    <w:rsid w:val="00B26058"/>
    <w:rsid w:val="00B260FD"/>
    <w:rsid w:val="00B309AC"/>
    <w:rsid w:val="00B30F0D"/>
    <w:rsid w:val="00B32A35"/>
    <w:rsid w:val="00B367E8"/>
    <w:rsid w:val="00B4420E"/>
    <w:rsid w:val="00B47645"/>
    <w:rsid w:val="00B47F8B"/>
    <w:rsid w:val="00B50207"/>
    <w:rsid w:val="00B5184D"/>
    <w:rsid w:val="00B53504"/>
    <w:rsid w:val="00B54848"/>
    <w:rsid w:val="00B54FD0"/>
    <w:rsid w:val="00B568F3"/>
    <w:rsid w:val="00B57B4B"/>
    <w:rsid w:val="00B604AB"/>
    <w:rsid w:val="00B61BC9"/>
    <w:rsid w:val="00B62D2D"/>
    <w:rsid w:val="00B634F8"/>
    <w:rsid w:val="00B646FD"/>
    <w:rsid w:val="00B66132"/>
    <w:rsid w:val="00B6677E"/>
    <w:rsid w:val="00B67507"/>
    <w:rsid w:val="00B7103E"/>
    <w:rsid w:val="00B71EE0"/>
    <w:rsid w:val="00B76212"/>
    <w:rsid w:val="00B76921"/>
    <w:rsid w:val="00B82607"/>
    <w:rsid w:val="00B836A9"/>
    <w:rsid w:val="00B83E21"/>
    <w:rsid w:val="00B85EF0"/>
    <w:rsid w:val="00B878E0"/>
    <w:rsid w:val="00B920EC"/>
    <w:rsid w:val="00B9449D"/>
    <w:rsid w:val="00B974D1"/>
    <w:rsid w:val="00BA0FDF"/>
    <w:rsid w:val="00BA24D8"/>
    <w:rsid w:val="00BB0647"/>
    <w:rsid w:val="00BB109C"/>
    <w:rsid w:val="00BB63F9"/>
    <w:rsid w:val="00BB78C5"/>
    <w:rsid w:val="00BC00AF"/>
    <w:rsid w:val="00BC1F87"/>
    <w:rsid w:val="00BC565B"/>
    <w:rsid w:val="00BC667A"/>
    <w:rsid w:val="00BD0CA4"/>
    <w:rsid w:val="00BD23FA"/>
    <w:rsid w:val="00BD3872"/>
    <w:rsid w:val="00BD4013"/>
    <w:rsid w:val="00BD4084"/>
    <w:rsid w:val="00BD4BB5"/>
    <w:rsid w:val="00BD4CFF"/>
    <w:rsid w:val="00BE07F2"/>
    <w:rsid w:val="00BE334E"/>
    <w:rsid w:val="00BE3409"/>
    <w:rsid w:val="00BE529A"/>
    <w:rsid w:val="00BF1265"/>
    <w:rsid w:val="00BF35C3"/>
    <w:rsid w:val="00BF5617"/>
    <w:rsid w:val="00BF5EE5"/>
    <w:rsid w:val="00C0154B"/>
    <w:rsid w:val="00C01B75"/>
    <w:rsid w:val="00C0231F"/>
    <w:rsid w:val="00C0466D"/>
    <w:rsid w:val="00C10102"/>
    <w:rsid w:val="00C10BC5"/>
    <w:rsid w:val="00C10E71"/>
    <w:rsid w:val="00C11CE4"/>
    <w:rsid w:val="00C13F13"/>
    <w:rsid w:val="00C22DCF"/>
    <w:rsid w:val="00C33522"/>
    <w:rsid w:val="00C345E5"/>
    <w:rsid w:val="00C428D1"/>
    <w:rsid w:val="00C4306D"/>
    <w:rsid w:val="00C43C6F"/>
    <w:rsid w:val="00C45221"/>
    <w:rsid w:val="00C473B1"/>
    <w:rsid w:val="00C475B4"/>
    <w:rsid w:val="00C510A2"/>
    <w:rsid w:val="00C52405"/>
    <w:rsid w:val="00C52FF5"/>
    <w:rsid w:val="00C53B41"/>
    <w:rsid w:val="00C56000"/>
    <w:rsid w:val="00C567FE"/>
    <w:rsid w:val="00C60557"/>
    <w:rsid w:val="00C60C55"/>
    <w:rsid w:val="00C61C2F"/>
    <w:rsid w:val="00C62887"/>
    <w:rsid w:val="00C62E4B"/>
    <w:rsid w:val="00C63AA2"/>
    <w:rsid w:val="00C67905"/>
    <w:rsid w:val="00C71151"/>
    <w:rsid w:val="00C721F6"/>
    <w:rsid w:val="00C75A1A"/>
    <w:rsid w:val="00C765A5"/>
    <w:rsid w:val="00C81E95"/>
    <w:rsid w:val="00C82405"/>
    <w:rsid w:val="00C84508"/>
    <w:rsid w:val="00C867E3"/>
    <w:rsid w:val="00C911A2"/>
    <w:rsid w:val="00C97209"/>
    <w:rsid w:val="00C97292"/>
    <w:rsid w:val="00CA253D"/>
    <w:rsid w:val="00CA2F28"/>
    <w:rsid w:val="00CA4172"/>
    <w:rsid w:val="00CB0CB2"/>
    <w:rsid w:val="00CB1750"/>
    <w:rsid w:val="00CB2BCD"/>
    <w:rsid w:val="00CB2EAE"/>
    <w:rsid w:val="00CB6C83"/>
    <w:rsid w:val="00CC1BAD"/>
    <w:rsid w:val="00CC3CB6"/>
    <w:rsid w:val="00CC6D50"/>
    <w:rsid w:val="00CD2CB7"/>
    <w:rsid w:val="00CD2F6B"/>
    <w:rsid w:val="00CE0AEF"/>
    <w:rsid w:val="00CE378A"/>
    <w:rsid w:val="00CE44F9"/>
    <w:rsid w:val="00CE540C"/>
    <w:rsid w:val="00CE56B9"/>
    <w:rsid w:val="00CF07F0"/>
    <w:rsid w:val="00CF2879"/>
    <w:rsid w:val="00CF3668"/>
    <w:rsid w:val="00CF69CC"/>
    <w:rsid w:val="00CF7648"/>
    <w:rsid w:val="00D02744"/>
    <w:rsid w:val="00D03891"/>
    <w:rsid w:val="00D07ECA"/>
    <w:rsid w:val="00D121F3"/>
    <w:rsid w:val="00D163CA"/>
    <w:rsid w:val="00D17249"/>
    <w:rsid w:val="00D201E3"/>
    <w:rsid w:val="00D20E9B"/>
    <w:rsid w:val="00D318E2"/>
    <w:rsid w:val="00D33256"/>
    <w:rsid w:val="00D37678"/>
    <w:rsid w:val="00D400B9"/>
    <w:rsid w:val="00D42E9A"/>
    <w:rsid w:val="00D4352A"/>
    <w:rsid w:val="00D44650"/>
    <w:rsid w:val="00D4472E"/>
    <w:rsid w:val="00D47085"/>
    <w:rsid w:val="00D53861"/>
    <w:rsid w:val="00D562AC"/>
    <w:rsid w:val="00D6084E"/>
    <w:rsid w:val="00D62AE2"/>
    <w:rsid w:val="00D711AE"/>
    <w:rsid w:val="00D71932"/>
    <w:rsid w:val="00D71AB2"/>
    <w:rsid w:val="00D72A8C"/>
    <w:rsid w:val="00D7681A"/>
    <w:rsid w:val="00D7681B"/>
    <w:rsid w:val="00D91B1B"/>
    <w:rsid w:val="00D95705"/>
    <w:rsid w:val="00D97671"/>
    <w:rsid w:val="00DA0BAA"/>
    <w:rsid w:val="00DA2A20"/>
    <w:rsid w:val="00DA4144"/>
    <w:rsid w:val="00DA453B"/>
    <w:rsid w:val="00DA537C"/>
    <w:rsid w:val="00DB0196"/>
    <w:rsid w:val="00DB125D"/>
    <w:rsid w:val="00DB13FD"/>
    <w:rsid w:val="00DB1F58"/>
    <w:rsid w:val="00DB2684"/>
    <w:rsid w:val="00DB3600"/>
    <w:rsid w:val="00DC1E43"/>
    <w:rsid w:val="00DC32CE"/>
    <w:rsid w:val="00DC3382"/>
    <w:rsid w:val="00DC34D2"/>
    <w:rsid w:val="00DC6490"/>
    <w:rsid w:val="00DD0681"/>
    <w:rsid w:val="00DD350E"/>
    <w:rsid w:val="00DD5D88"/>
    <w:rsid w:val="00DE0406"/>
    <w:rsid w:val="00DE206F"/>
    <w:rsid w:val="00DE5330"/>
    <w:rsid w:val="00DE7256"/>
    <w:rsid w:val="00DF1269"/>
    <w:rsid w:val="00DF2157"/>
    <w:rsid w:val="00DF2534"/>
    <w:rsid w:val="00DF6CBF"/>
    <w:rsid w:val="00E02BB0"/>
    <w:rsid w:val="00E042B9"/>
    <w:rsid w:val="00E05383"/>
    <w:rsid w:val="00E05D4C"/>
    <w:rsid w:val="00E0771C"/>
    <w:rsid w:val="00E07A43"/>
    <w:rsid w:val="00E11FFF"/>
    <w:rsid w:val="00E12C44"/>
    <w:rsid w:val="00E13306"/>
    <w:rsid w:val="00E165CF"/>
    <w:rsid w:val="00E20BC0"/>
    <w:rsid w:val="00E25786"/>
    <w:rsid w:val="00E27AE7"/>
    <w:rsid w:val="00E32086"/>
    <w:rsid w:val="00E327B5"/>
    <w:rsid w:val="00E3518B"/>
    <w:rsid w:val="00E36EF7"/>
    <w:rsid w:val="00E3712D"/>
    <w:rsid w:val="00E37A4E"/>
    <w:rsid w:val="00E40870"/>
    <w:rsid w:val="00E43177"/>
    <w:rsid w:val="00E43F24"/>
    <w:rsid w:val="00E47973"/>
    <w:rsid w:val="00E508DA"/>
    <w:rsid w:val="00E51AF5"/>
    <w:rsid w:val="00E56DE2"/>
    <w:rsid w:val="00E6402E"/>
    <w:rsid w:val="00E669AB"/>
    <w:rsid w:val="00E70386"/>
    <w:rsid w:val="00E71027"/>
    <w:rsid w:val="00E74CCB"/>
    <w:rsid w:val="00E74F5C"/>
    <w:rsid w:val="00E76576"/>
    <w:rsid w:val="00E8187E"/>
    <w:rsid w:val="00E842C6"/>
    <w:rsid w:val="00E84878"/>
    <w:rsid w:val="00E92FC0"/>
    <w:rsid w:val="00E93620"/>
    <w:rsid w:val="00E95AA8"/>
    <w:rsid w:val="00EA0BD9"/>
    <w:rsid w:val="00EA2B66"/>
    <w:rsid w:val="00EA2C35"/>
    <w:rsid w:val="00EA456D"/>
    <w:rsid w:val="00EA7E55"/>
    <w:rsid w:val="00EB00C3"/>
    <w:rsid w:val="00EB2183"/>
    <w:rsid w:val="00EB7C7F"/>
    <w:rsid w:val="00EC6888"/>
    <w:rsid w:val="00ED29A4"/>
    <w:rsid w:val="00ED2A80"/>
    <w:rsid w:val="00ED4B89"/>
    <w:rsid w:val="00ED7FE1"/>
    <w:rsid w:val="00EE1AFA"/>
    <w:rsid w:val="00EE4C50"/>
    <w:rsid w:val="00EE4D77"/>
    <w:rsid w:val="00EE5B51"/>
    <w:rsid w:val="00EE732C"/>
    <w:rsid w:val="00EE7A60"/>
    <w:rsid w:val="00EF04EC"/>
    <w:rsid w:val="00EF05E4"/>
    <w:rsid w:val="00EF3735"/>
    <w:rsid w:val="00EF69C9"/>
    <w:rsid w:val="00F01DBE"/>
    <w:rsid w:val="00F02414"/>
    <w:rsid w:val="00F033BD"/>
    <w:rsid w:val="00F07919"/>
    <w:rsid w:val="00F10A30"/>
    <w:rsid w:val="00F124CB"/>
    <w:rsid w:val="00F139B9"/>
    <w:rsid w:val="00F161C9"/>
    <w:rsid w:val="00F1664E"/>
    <w:rsid w:val="00F17003"/>
    <w:rsid w:val="00F17292"/>
    <w:rsid w:val="00F21D50"/>
    <w:rsid w:val="00F2210F"/>
    <w:rsid w:val="00F2287F"/>
    <w:rsid w:val="00F22DD5"/>
    <w:rsid w:val="00F2305A"/>
    <w:rsid w:val="00F26DB4"/>
    <w:rsid w:val="00F30086"/>
    <w:rsid w:val="00F307E6"/>
    <w:rsid w:val="00F31E8F"/>
    <w:rsid w:val="00F4489F"/>
    <w:rsid w:val="00F44E66"/>
    <w:rsid w:val="00F460C2"/>
    <w:rsid w:val="00F5000F"/>
    <w:rsid w:val="00F50487"/>
    <w:rsid w:val="00F51386"/>
    <w:rsid w:val="00F51402"/>
    <w:rsid w:val="00F516E9"/>
    <w:rsid w:val="00F55AB4"/>
    <w:rsid w:val="00F71575"/>
    <w:rsid w:val="00F74C50"/>
    <w:rsid w:val="00F76440"/>
    <w:rsid w:val="00F76888"/>
    <w:rsid w:val="00F82BBC"/>
    <w:rsid w:val="00F87DE8"/>
    <w:rsid w:val="00F9326F"/>
    <w:rsid w:val="00F9360F"/>
    <w:rsid w:val="00F93D3D"/>
    <w:rsid w:val="00FA2574"/>
    <w:rsid w:val="00FA4C10"/>
    <w:rsid w:val="00FB027B"/>
    <w:rsid w:val="00FB09C0"/>
    <w:rsid w:val="00FB0A3C"/>
    <w:rsid w:val="00FB1AB7"/>
    <w:rsid w:val="00FB4D64"/>
    <w:rsid w:val="00FB5ED6"/>
    <w:rsid w:val="00FB7304"/>
    <w:rsid w:val="00FC2CA7"/>
    <w:rsid w:val="00FD0508"/>
    <w:rsid w:val="00FD2159"/>
    <w:rsid w:val="00FD43EF"/>
    <w:rsid w:val="00FD595F"/>
    <w:rsid w:val="00FE0C78"/>
    <w:rsid w:val="00FE465F"/>
    <w:rsid w:val="00FE7060"/>
    <w:rsid w:val="00FF1A98"/>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C8A0E892-96E5-4E7D-AF4A-05D1E6F0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 w:type="paragraph" w:styleId="Revize">
    <w:name w:val="Revision"/>
    <w:hidden/>
    <w:uiPriority w:val="99"/>
    <w:semiHidden/>
    <w:rsid w:val="001B07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BFE4-75FD-4EEC-8332-17F7BF18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17</Pages>
  <Words>6696</Words>
  <Characters>39513</Characters>
  <Application>Microsoft Office Word</Application>
  <DocSecurity>0</DocSecurity>
  <Lines>329</Lines>
  <Paragraphs>92</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46117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11</cp:revision>
  <cp:lastPrinted>2024-01-15T08:32:00Z</cp:lastPrinted>
  <dcterms:created xsi:type="dcterms:W3CDTF">2024-03-25T18:06:00Z</dcterms:created>
  <dcterms:modified xsi:type="dcterms:W3CDTF">2024-04-12T09:28:00Z</dcterms:modified>
</cp:coreProperties>
</file>